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14" w:rsidRPr="006C657E" w:rsidRDefault="002E529B" w:rsidP="00DE01DE">
      <w:pPr>
        <w:pStyle w:val="Heading1"/>
      </w:pPr>
      <w:bookmarkStart w:id="0" w:name="_GoBack"/>
      <w:bookmarkEnd w:id="0"/>
      <w:r>
        <w:t>Anti-Parkinsonian Drugs and N</w:t>
      </w:r>
      <w:r w:rsidR="00E04BA0">
        <w:t xml:space="preserve">euroleptics </w:t>
      </w:r>
      <w:r w:rsidR="004F7314" w:rsidRPr="006C657E">
        <w:t xml:space="preserve"> </w:t>
      </w:r>
    </w:p>
    <w:p w:rsidR="0028747D" w:rsidRDefault="00E75442" w:rsidP="00AE28F6">
      <w:pPr>
        <w:pStyle w:val="Heading2"/>
        <w:spacing w:after="120"/>
      </w:pPr>
      <w:r>
        <w:t>Update</w:t>
      </w:r>
      <w:r w:rsidR="00254A21">
        <w:t>d</w:t>
      </w:r>
      <w:r>
        <w:t xml:space="preserve"> l</w:t>
      </w:r>
      <w:r w:rsidR="0028747D">
        <w:t>earning objectives</w:t>
      </w:r>
    </w:p>
    <w:p w:rsidR="006271CB" w:rsidRPr="006271CB" w:rsidRDefault="006271CB" w:rsidP="006271CB">
      <w:pPr>
        <w:pStyle w:val="Title"/>
        <w:numPr>
          <w:ilvl w:val="0"/>
          <w:numId w:val="15"/>
        </w:numPr>
        <w:spacing w:after="120"/>
        <w:ind w:left="709" w:hanging="567"/>
        <w:jc w:val="left"/>
        <w:rPr>
          <w:rFonts w:ascii="Arial" w:hAnsi="Arial" w:cs="Arial"/>
          <w:b w:val="0"/>
          <w:sz w:val="22"/>
          <w:szCs w:val="24"/>
        </w:rPr>
      </w:pPr>
      <w:r w:rsidRPr="006271CB">
        <w:rPr>
          <w:rFonts w:ascii="Arial" w:hAnsi="Arial" w:cs="Arial"/>
          <w:b w:val="0"/>
          <w:sz w:val="22"/>
          <w:szCs w:val="24"/>
        </w:rPr>
        <w:t>Describe the main symptoms displayed by patients with Parkinson’s disease (PD) and their underlying pathology</w:t>
      </w:r>
    </w:p>
    <w:p w:rsidR="006271CB" w:rsidRPr="006271CB" w:rsidRDefault="006271CB" w:rsidP="006271CB">
      <w:pPr>
        <w:pStyle w:val="Title"/>
        <w:numPr>
          <w:ilvl w:val="0"/>
          <w:numId w:val="15"/>
        </w:numPr>
        <w:spacing w:after="120"/>
        <w:ind w:left="709" w:hanging="567"/>
        <w:jc w:val="left"/>
        <w:rPr>
          <w:rFonts w:ascii="Arial" w:hAnsi="Arial" w:cs="Arial"/>
          <w:b w:val="0"/>
          <w:sz w:val="22"/>
          <w:szCs w:val="24"/>
        </w:rPr>
      </w:pPr>
      <w:r w:rsidRPr="006271CB">
        <w:rPr>
          <w:rFonts w:ascii="Arial" w:hAnsi="Arial" w:cs="Arial"/>
          <w:b w:val="0"/>
          <w:sz w:val="22"/>
          <w:szCs w:val="24"/>
        </w:rPr>
        <w:t>Name the 3 main drug classes used to treat PD and describe their mechanisms of action</w:t>
      </w:r>
    </w:p>
    <w:p w:rsidR="006271CB" w:rsidRPr="006271CB" w:rsidRDefault="006271CB" w:rsidP="006271CB">
      <w:pPr>
        <w:pStyle w:val="Title"/>
        <w:numPr>
          <w:ilvl w:val="0"/>
          <w:numId w:val="15"/>
        </w:numPr>
        <w:spacing w:after="120"/>
        <w:ind w:left="709" w:hanging="567"/>
        <w:jc w:val="left"/>
        <w:rPr>
          <w:rFonts w:ascii="Arial" w:hAnsi="Arial" w:cs="Arial"/>
          <w:b w:val="0"/>
          <w:sz w:val="22"/>
          <w:szCs w:val="24"/>
        </w:rPr>
      </w:pPr>
      <w:r w:rsidRPr="006271CB">
        <w:rPr>
          <w:rFonts w:ascii="Arial" w:hAnsi="Arial" w:cs="Arial"/>
          <w:b w:val="0"/>
          <w:sz w:val="22"/>
          <w:szCs w:val="24"/>
        </w:rPr>
        <w:t xml:space="preserve">Summarise the problems with the current drug treatment for PD and the side-effects associated with levodopa in particular </w:t>
      </w:r>
    </w:p>
    <w:p w:rsidR="006271CB" w:rsidRPr="006271CB" w:rsidRDefault="006271CB" w:rsidP="006271CB">
      <w:pPr>
        <w:pStyle w:val="Title"/>
        <w:numPr>
          <w:ilvl w:val="0"/>
          <w:numId w:val="15"/>
        </w:numPr>
        <w:spacing w:after="120"/>
        <w:ind w:left="709" w:hanging="567"/>
        <w:jc w:val="left"/>
        <w:rPr>
          <w:rFonts w:ascii="Arial" w:hAnsi="Arial" w:cs="Arial"/>
          <w:b w:val="0"/>
          <w:sz w:val="22"/>
          <w:szCs w:val="24"/>
        </w:rPr>
      </w:pPr>
      <w:r w:rsidRPr="006271CB">
        <w:rPr>
          <w:rFonts w:ascii="Arial" w:hAnsi="Arial" w:cs="Arial"/>
          <w:b w:val="0"/>
          <w:sz w:val="22"/>
          <w:szCs w:val="24"/>
        </w:rPr>
        <w:t>Describe the major symptoms displayed by schizophrenic patients and the associated neural pathways</w:t>
      </w:r>
    </w:p>
    <w:p w:rsidR="006271CB" w:rsidRPr="006271CB" w:rsidRDefault="006271CB" w:rsidP="006271CB">
      <w:pPr>
        <w:pStyle w:val="Title"/>
        <w:numPr>
          <w:ilvl w:val="0"/>
          <w:numId w:val="15"/>
        </w:numPr>
        <w:spacing w:after="120"/>
        <w:ind w:left="709" w:hanging="567"/>
        <w:jc w:val="left"/>
        <w:rPr>
          <w:rFonts w:ascii="Arial" w:hAnsi="Arial" w:cs="Arial"/>
          <w:b w:val="0"/>
          <w:sz w:val="22"/>
          <w:szCs w:val="24"/>
        </w:rPr>
      </w:pPr>
      <w:r w:rsidRPr="006271CB">
        <w:rPr>
          <w:rFonts w:ascii="Arial" w:hAnsi="Arial" w:cs="Arial"/>
          <w:b w:val="0"/>
          <w:sz w:val="22"/>
          <w:szCs w:val="24"/>
        </w:rPr>
        <w:t>Name the main first-generation antipsychotic drugs in clinical use and provide details of their side-effects</w:t>
      </w:r>
    </w:p>
    <w:p w:rsidR="00164974" w:rsidRDefault="006271CB" w:rsidP="006271CB">
      <w:pPr>
        <w:pStyle w:val="Title"/>
        <w:numPr>
          <w:ilvl w:val="0"/>
          <w:numId w:val="15"/>
        </w:numPr>
        <w:spacing w:after="120" w:line="276" w:lineRule="auto"/>
        <w:ind w:left="709" w:hanging="567"/>
        <w:jc w:val="left"/>
        <w:rPr>
          <w:rFonts w:ascii="Arial Narrow" w:hAnsi="Arial Narrow" w:cs="Arial"/>
          <w:b w:val="0"/>
          <w:sz w:val="22"/>
          <w:szCs w:val="24"/>
        </w:rPr>
      </w:pPr>
      <w:r w:rsidRPr="006271CB">
        <w:rPr>
          <w:rFonts w:ascii="Arial" w:hAnsi="Arial" w:cs="Arial"/>
          <w:b w:val="0"/>
          <w:sz w:val="22"/>
          <w:szCs w:val="24"/>
        </w:rPr>
        <w:t>Name the main second-generation antipsychotic drugs in clinical use and provide details of their side-effects</w:t>
      </w:r>
    </w:p>
    <w:p w:rsidR="004F7314" w:rsidRPr="006C657E" w:rsidRDefault="00630291" w:rsidP="00DE01DE">
      <w:pPr>
        <w:pStyle w:val="Heading2"/>
      </w:pPr>
      <w:r>
        <w:t>Dopamine Background</w:t>
      </w:r>
    </w:p>
    <w:p w:rsidR="00C462EE" w:rsidRPr="00C462EE" w:rsidRDefault="00F05B58" w:rsidP="00C462EE">
      <w:pPr>
        <w:rPr>
          <w:rFonts w:cs="Arial"/>
        </w:rPr>
      </w:pPr>
      <w:r>
        <w:rPr>
          <w:rFonts w:cs="Arial"/>
        </w:rPr>
        <w:t>Dopamine</w:t>
      </w:r>
      <w:r w:rsidR="00C462EE">
        <w:rPr>
          <w:rFonts w:cs="Arial"/>
        </w:rPr>
        <w:t xml:space="preserve"> (DA)</w:t>
      </w:r>
      <w:r>
        <w:rPr>
          <w:rFonts w:cs="Arial"/>
        </w:rPr>
        <w:t xml:space="preserve"> is one of the three major monoamine neurotransmitters found within the central nervous system (CNS).</w:t>
      </w:r>
      <w:r w:rsidR="00C462EE">
        <w:rPr>
          <w:rFonts w:cs="Arial"/>
        </w:rPr>
        <w:t xml:space="preserve"> The </w:t>
      </w:r>
      <w:r w:rsidR="00743327">
        <w:rPr>
          <w:rFonts w:cs="Arial"/>
        </w:rPr>
        <w:t>processes of</w:t>
      </w:r>
      <w:r w:rsidR="00C462EE">
        <w:rPr>
          <w:rFonts w:cs="Arial"/>
        </w:rPr>
        <w:t xml:space="preserve"> DA </w:t>
      </w:r>
      <w:r w:rsidR="00743327">
        <w:rPr>
          <w:rFonts w:cs="Arial"/>
        </w:rPr>
        <w:t>s</w:t>
      </w:r>
      <w:r w:rsidR="00743327" w:rsidRPr="00C462EE">
        <w:rPr>
          <w:rFonts w:cs="Arial"/>
        </w:rPr>
        <w:t>ynthesis</w:t>
      </w:r>
      <w:r w:rsidR="00743327">
        <w:rPr>
          <w:rFonts w:cs="Arial"/>
        </w:rPr>
        <w:t xml:space="preserve"> and metabolism are</w:t>
      </w:r>
      <w:r w:rsidR="00C462EE">
        <w:rPr>
          <w:rFonts w:cs="Arial"/>
        </w:rPr>
        <w:t xml:space="preserve"> shown in figure 1. </w:t>
      </w:r>
    </w:p>
    <w:p w:rsidR="00977D9A" w:rsidRPr="00743327" w:rsidRDefault="001D1989" w:rsidP="00743327">
      <w:pPr>
        <w:spacing w:after="120"/>
        <w:rPr>
          <w:rFonts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2440305</wp:posOffset>
                </wp:positionH>
                <wp:positionV relativeFrom="paragraph">
                  <wp:posOffset>49530</wp:posOffset>
                </wp:positionV>
                <wp:extent cx="4029075" cy="3495675"/>
                <wp:effectExtent l="11430" t="1143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495675"/>
                        </a:xfrm>
                        <a:prstGeom prst="rect">
                          <a:avLst/>
                        </a:prstGeom>
                        <a:solidFill>
                          <a:srgbClr val="FFFFFF"/>
                        </a:solidFill>
                        <a:ln w="9525">
                          <a:solidFill>
                            <a:srgbClr val="000000"/>
                          </a:solidFill>
                          <a:miter lim="800000"/>
                          <a:headEnd/>
                          <a:tailEnd/>
                        </a:ln>
                      </wps:spPr>
                      <wps:txbx>
                        <w:txbxContent>
                          <w:p w:rsidR="00D94DC1" w:rsidRDefault="00D94DC1" w:rsidP="00D94DC1">
                            <w:pPr>
                              <w:spacing w:after="120"/>
                              <w:jc w:val="left"/>
                              <w:rPr>
                                <w:b/>
                              </w:rPr>
                            </w:pPr>
                            <w:r w:rsidRPr="00D94DC1">
                              <w:rPr>
                                <w:b/>
                              </w:rPr>
                              <w:t>Figure 1: Dopamine synthesis and metabolism</w:t>
                            </w:r>
                          </w:p>
                          <w:p w:rsidR="00D94DC1" w:rsidRDefault="00D94DC1" w:rsidP="00D94DC1">
                            <w:pPr>
                              <w:spacing w:after="0"/>
                              <w:jc w:val="left"/>
                            </w:pPr>
                            <w:r>
                              <w:t>Tyrosine (TYR) is a non-essential amino acid that is converted to L-DOPA by the enzyme tyrosine hydroxylase (TH). TH is an oxidase that catalyses the rate-limiting step in monoamine synthesis. L-DOPA is subsequently converted to dopamine (DA) by the enzyme DOPA decarboxylase (DOPA-D). DA is stored within vesicles and released following membrane excitation and Ca</w:t>
                            </w:r>
                            <w:r>
                              <w:rPr>
                                <w:vertAlign w:val="superscript"/>
                              </w:rPr>
                              <w:t>2+</w:t>
                            </w:r>
                            <w:r>
                              <w:t xml:space="preserve"> entry. </w:t>
                            </w:r>
                          </w:p>
                          <w:p w:rsidR="00743327" w:rsidRDefault="00743327" w:rsidP="00743327">
                            <w:pPr>
                              <w:spacing w:after="0"/>
                              <w:rPr>
                                <w:rFonts w:cs="Arial"/>
                              </w:rPr>
                            </w:pPr>
                            <w:r w:rsidRPr="00C462EE">
                              <w:rPr>
                                <w:rFonts w:cs="Arial"/>
                              </w:rPr>
                              <w:t>DA can be removed from the synaptic cleft by th</w:t>
                            </w:r>
                            <w:r>
                              <w:rPr>
                                <w:rFonts w:cs="Arial"/>
                              </w:rPr>
                              <w:t>e dopamine transporter (DAT) or</w:t>
                            </w:r>
                            <w:r w:rsidRPr="00C462EE">
                              <w:rPr>
                                <w:rFonts w:cs="Arial"/>
                              </w:rPr>
                              <w:t xml:space="preserve"> the noradrenaline transporter</w:t>
                            </w:r>
                            <w:r>
                              <w:rPr>
                                <w:rFonts w:cs="Arial"/>
                              </w:rPr>
                              <w:t xml:space="preserve"> (NET).</w:t>
                            </w:r>
                          </w:p>
                          <w:p w:rsidR="00743327" w:rsidRPr="00C462EE" w:rsidRDefault="00743327" w:rsidP="00743327">
                            <w:pPr>
                              <w:spacing w:after="120"/>
                              <w:rPr>
                                <w:rFonts w:cs="Arial"/>
                              </w:rPr>
                            </w:pPr>
                            <w:r w:rsidRPr="00C462EE">
                              <w:rPr>
                                <w:rFonts w:cs="Arial"/>
                              </w:rPr>
                              <w:t>There are three enzymes involved in the metabolism of DA:</w:t>
                            </w:r>
                          </w:p>
                          <w:p w:rsidR="00743327" w:rsidRPr="00C462EE" w:rsidRDefault="00743327" w:rsidP="00630291">
                            <w:pPr>
                              <w:pStyle w:val="ListParagraph"/>
                              <w:numPr>
                                <w:ilvl w:val="0"/>
                                <w:numId w:val="24"/>
                              </w:numPr>
                              <w:spacing w:after="0"/>
                              <w:ind w:left="426" w:hanging="284"/>
                              <w:jc w:val="left"/>
                              <w:rPr>
                                <w:rFonts w:cs="Arial"/>
                              </w:rPr>
                            </w:pPr>
                            <w:r>
                              <w:rPr>
                                <w:rFonts w:cs="Arial"/>
                              </w:rPr>
                              <w:t>Monoamine oxidase A (MAO-A)</w:t>
                            </w:r>
                            <w:r w:rsidRPr="00C462EE">
                              <w:rPr>
                                <w:rFonts w:cs="Arial"/>
                              </w:rPr>
                              <w:t xml:space="preserve">: </w:t>
                            </w:r>
                            <w:r>
                              <w:rPr>
                                <w:rFonts w:cs="Arial"/>
                              </w:rPr>
                              <w:t>has a mitochondrial location and</w:t>
                            </w:r>
                            <w:r w:rsidRPr="00C462EE">
                              <w:rPr>
                                <w:rFonts w:cs="Arial"/>
                              </w:rPr>
                              <w:t xml:space="preserve"> metabolises DA, </w:t>
                            </w:r>
                            <w:r>
                              <w:rPr>
                                <w:rFonts w:cs="Arial"/>
                              </w:rPr>
                              <w:t>noradrenaline and serotonin</w:t>
                            </w:r>
                          </w:p>
                          <w:p w:rsidR="00743327" w:rsidRPr="00C462EE" w:rsidRDefault="00743327" w:rsidP="00630291">
                            <w:pPr>
                              <w:pStyle w:val="ListParagraph"/>
                              <w:numPr>
                                <w:ilvl w:val="0"/>
                                <w:numId w:val="24"/>
                              </w:numPr>
                              <w:spacing w:after="0"/>
                              <w:ind w:left="426" w:hanging="284"/>
                              <w:jc w:val="left"/>
                              <w:rPr>
                                <w:rFonts w:cs="Arial"/>
                              </w:rPr>
                            </w:pPr>
                            <w:r w:rsidRPr="00C462EE">
                              <w:rPr>
                                <w:rFonts w:cs="Arial"/>
                              </w:rPr>
                              <w:t>MAO-B: metabolises DA</w:t>
                            </w:r>
                          </w:p>
                          <w:p w:rsidR="00743327" w:rsidRPr="00D94DC1" w:rsidRDefault="00743327" w:rsidP="00630291">
                            <w:pPr>
                              <w:pStyle w:val="ListParagraph"/>
                              <w:numPr>
                                <w:ilvl w:val="0"/>
                                <w:numId w:val="24"/>
                              </w:numPr>
                              <w:spacing w:after="0"/>
                              <w:ind w:left="426" w:hanging="284"/>
                              <w:jc w:val="left"/>
                            </w:pPr>
                            <w:r w:rsidRPr="00743327">
                              <w:rPr>
                                <w:rFonts w:cs="Arial"/>
                              </w:rPr>
                              <w:t>Catec</w:t>
                            </w:r>
                            <w:r w:rsidR="00941B66">
                              <w:rPr>
                                <w:rFonts w:cs="Arial"/>
                              </w:rPr>
                              <w:t>hol-O-methyl transferase (COMT) has a</w:t>
                            </w:r>
                            <w:r w:rsidRPr="00743327">
                              <w:rPr>
                                <w:rFonts w:cs="Arial"/>
                              </w:rPr>
                              <w:t xml:space="preserve"> wide distribution, metabolises all monoamines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15pt;margin-top:3.9pt;width:317.2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9Kg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">
                <v:textbox>
                  <w:txbxContent>
                    <w:p w:rsidR="00D94DC1" w:rsidRDefault="00D94DC1" w:rsidP="00D94DC1">
                      <w:pPr>
                        <w:spacing w:after="120"/>
                        <w:jc w:val="left"/>
                        <w:rPr>
                          <w:b/>
                        </w:rPr>
                      </w:pPr>
                      <w:r w:rsidRPr="00D94DC1">
                        <w:rPr>
                          <w:b/>
                        </w:rPr>
                        <w:t>Figure 1: Dopamine synthesis and metabolism</w:t>
                      </w:r>
                    </w:p>
                    <w:p w:rsidR="00D94DC1" w:rsidRDefault="00D94DC1" w:rsidP="00D94DC1">
                      <w:pPr>
                        <w:spacing w:after="0"/>
                        <w:jc w:val="left"/>
                      </w:pPr>
                      <w:r>
                        <w:t>Tyrosine (TYR) is a non-essential amino acid that is converted to L-DOPA by the enzyme tyrosine hydroxylase (TH). TH is an oxidase that catalyses the rate-limiting step in monoamine synthesis. L-DOPA is subsequently converted to dopamine (DA) by the enzyme DOPA decarboxylase (DOPA-D). DA is stored within vesicles and released following membrane excitation and Ca</w:t>
                      </w:r>
                      <w:r>
                        <w:rPr>
                          <w:vertAlign w:val="superscript"/>
                        </w:rPr>
                        <w:t>2+</w:t>
                      </w:r>
                      <w:r>
                        <w:t xml:space="preserve"> entry. </w:t>
                      </w:r>
                    </w:p>
                    <w:p w:rsidR="00743327" w:rsidRDefault="00743327" w:rsidP="00743327">
                      <w:pPr>
                        <w:spacing w:after="0"/>
                        <w:rPr>
                          <w:rFonts w:cs="Arial"/>
                        </w:rPr>
                      </w:pPr>
                      <w:r w:rsidRPr="00C462EE">
                        <w:rPr>
                          <w:rFonts w:cs="Arial"/>
                        </w:rPr>
                        <w:t>DA can be removed from the synaptic cleft by th</w:t>
                      </w:r>
                      <w:r>
                        <w:rPr>
                          <w:rFonts w:cs="Arial"/>
                        </w:rPr>
                        <w:t>e dopamine transporter (DAT) or</w:t>
                      </w:r>
                      <w:r w:rsidRPr="00C462EE">
                        <w:rPr>
                          <w:rFonts w:cs="Arial"/>
                        </w:rPr>
                        <w:t xml:space="preserve"> the noradrenaline transporter</w:t>
                      </w:r>
                      <w:r>
                        <w:rPr>
                          <w:rFonts w:cs="Arial"/>
                        </w:rPr>
                        <w:t xml:space="preserve"> (NET).</w:t>
                      </w:r>
                    </w:p>
                    <w:p w:rsidR="00743327" w:rsidRPr="00C462EE" w:rsidRDefault="00743327" w:rsidP="00743327">
                      <w:pPr>
                        <w:spacing w:after="120"/>
                        <w:rPr>
                          <w:rFonts w:cs="Arial"/>
                        </w:rPr>
                      </w:pPr>
                      <w:r w:rsidRPr="00C462EE">
                        <w:rPr>
                          <w:rFonts w:cs="Arial"/>
                        </w:rPr>
                        <w:t>There are three enzymes involved in the metabolism of DA:</w:t>
                      </w:r>
                    </w:p>
                    <w:p w:rsidR="00743327" w:rsidRPr="00C462EE" w:rsidRDefault="00743327" w:rsidP="00630291">
                      <w:pPr>
                        <w:pStyle w:val="ListParagraph"/>
                        <w:numPr>
                          <w:ilvl w:val="0"/>
                          <w:numId w:val="24"/>
                        </w:numPr>
                        <w:spacing w:after="0"/>
                        <w:ind w:left="426" w:hanging="284"/>
                        <w:jc w:val="left"/>
                        <w:rPr>
                          <w:rFonts w:cs="Arial"/>
                        </w:rPr>
                      </w:pPr>
                      <w:r>
                        <w:rPr>
                          <w:rFonts w:cs="Arial"/>
                        </w:rPr>
                        <w:t>Monoamine oxidase A (MAO-A)</w:t>
                      </w:r>
                      <w:r w:rsidRPr="00C462EE">
                        <w:rPr>
                          <w:rFonts w:cs="Arial"/>
                        </w:rPr>
                        <w:t xml:space="preserve">: </w:t>
                      </w:r>
                      <w:r>
                        <w:rPr>
                          <w:rFonts w:cs="Arial"/>
                        </w:rPr>
                        <w:t>has a mitochondrial location and</w:t>
                      </w:r>
                      <w:r w:rsidRPr="00C462EE">
                        <w:rPr>
                          <w:rFonts w:cs="Arial"/>
                        </w:rPr>
                        <w:t xml:space="preserve"> metabolises DA, </w:t>
                      </w:r>
                      <w:r>
                        <w:rPr>
                          <w:rFonts w:cs="Arial"/>
                        </w:rPr>
                        <w:t>noradrenaline and serotonin</w:t>
                      </w:r>
                    </w:p>
                    <w:p w:rsidR="00743327" w:rsidRPr="00C462EE" w:rsidRDefault="00743327" w:rsidP="00630291">
                      <w:pPr>
                        <w:pStyle w:val="ListParagraph"/>
                        <w:numPr>
                          <w:ilvl w:val="0"/>
                          <w:numId w:val="24"/>
                        </w:numPr>
                        <w:spacing w:after="0"/>
                        <w:ind w:left="426" w:hanging="284"/>
                        <w:jc w:val="left"/>
                        <w:rPr>
                          <w:rFonts w:cs="Arial"/>
                        </w:rPr>
                      </w:pPr>
                      <w:r w:rsidRPr="00C462EE">
                        <w:rPr>
                          <w:rFonts w:cs="Arial"/>
                        </w:rPr>
                        <w:t>MAO-B: metabolises DA</w:t>
                      </w:r>
                    </w:p>
                    <w:p w:rsidR="00743327" w:rsidRPr="00D94DC1" w:rsidRDefault="00743327" w:rsidP="00630291">
                      <w:pPr>
                        <w:pStyle w:val="ListParagraph"/>
                        <w:numPr>
                          <w:ilvl w:val="0"/>
                          <w:numId w:val="24"/>
                        </w:numPr>
                        <w:spacing w:after="0"/>
                        <w:ind w:left="426" w:hanging="284"/>
                        <w:jc w:val="left"/>
                      </w:pPr>
                      <w:r w:rsidRPr="00743327">
                        <w:rPr>
                          <w:rFonts w:cs="Arial"/>
                        </w:rPr>
                        <w:t>Catec</w:t>
                      </w:r>
                      <w:r w:rsidR="00941B66">
                        <w:rPr>
                          <w:rFonts w:cs="Arial"/>
                        </w:rPr>
                        <w:t>hol-O-methyl transferase (COMT) has a</w:t>
                      </w:r>
                      <w:r w:rsidRPr="00743327">
                        <w:rPr>
                          <w:rFonts w:cs="Arial"/>
                        </w:rPr>
                        <w:t xml:space="preserve"> wide distribution, metabolises all monoamines</w:t>
                      </w:r>
                    </w:p>
                  </w:txbxContent>
                </v:textbox>
              </v:shape>
            </w:pict>
          </mc:Fallback>
        </mc:AlternateContent>
      </w:r>
    </w:p>
    <w:p w:rsidR="00A97503" w:rsidRPr="00F63039" w:rsidRDefault="00A97503" w:rsidP="00E04BA0">
      <w:pPr>
        <w:rPr>
          <w:rFonts w:cs="Arial"/>
        </w:rPr>
      </w:pPr>
      <w:r>
        <w:rPr>
          <w:rFonts w:cs="Arial"/>
          <w:noProof/>
          <w:lang w:eastAsia="en-GB"/>
        </w:rPr>
        <w:drawing>
          <wp:inline distT="0" distB="0" distL="0" distR="0">
            <wp:extent cx="2290843"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neurone.png"/>
                    <pic:cNvPicPr/>
                  </pic:nvPicPr>
                  <pic:blipFill>
                    <a:blip r:embed="rId9">
                      <a:extLst>
                        <a:ext uri="{28A0092B-C50C-407E-A947-70E740481C1C}">
                          <a14:useLocalDpi xmlns:a14="http://schemas.microsoft.com/office/drawing/2010/main" val="0"/>
                        </a:ext>
                      </a:extLst>
                    </a:blip>
                    <a:stretch>
                      <a:fillRect/>
                    </a:stretch>
                  </pic:blipFill>
                  <pic:spPr>
                    <a:xfrm>
                      <a:off x="0" y="0"/>
                      <a:ext cx="2290368" cy="3142598"/>
                    </a:xfrm>
                    <a:prstGeom prst="rect">
                      <a:avLst/>
                    </a:prstGeom>
                  </pic:spPr>
                </pic:pic>
              </a:graphicData>
            </a:graphic>
          </wp:inline>
        </w:drawing>
      </w:r>
    </w:p>
    <w:p w:rsidR="00630291" w:rsidRDefault="00630291" w:rsidP="00DE01DE">
      <w:pPr>
        <w:pStyle w:val="Heading2"/>
      </w:pPr>
    </w:p>
    <w:p w:rsidR="00630291" w:rsidRDefault="00630291" w:rsidP="00DE01DE">
      <w:pPr>
        <w:pStyle w:val="Heading2"/>
        <w:rPr>
          <w:b w:val="0"/>
          <w:i/>
        </w:rPr>
      </w:pPr>
      <w:r w:rsidRPr="00630291">
        <w:rPr>
          <w:b w:val="0"/>
          <w:i/>
        </w:rPr>
        <w:t>Neuronal pathways</w:t>
      </w:r>
    </w:p>
    <w:p w:rsidR="00DA0C67" w:rsidRDefault="00DA0C67" w:rsidP="00DA0C67">
      <w:r>
        <w:t>The four main dopaminergic pathways in the brain are:</w:t>
      </w:r>
    </w:p>
    <w:p w:rsidR="00DA0C67" w:rsidRDefault="00DA0C67" w:rsidP="00DA0C67">
      <w:pPr>
        <w:pStyle w:val="ListParagraph"/>
        <w:numPr>
          <w:ilvl w:val="0"/>
          <w:numId w:val="32"/>
        </w:numPr>
        <w:spacing w:after="0"/>
        <w:ind w:left="714" w:hanging="357"/>
      </w:pPr>
      <w:r>
        <w:t xml:space="preserve">The nigrostriatal pathway runs from the </w:t>
      </w:r>
      <w:r w:rsidR="000E76F8">
        <w:t>substantia</w:t>
      </w:r>
      <w:r>
        <w:t xml:space="preserve"> nigra pars compacta (SNc) to the striatum. Inhibition of this pathway results in movement disorders</w:t>
      </w:r>
    </w:p>
    <w:p w:rsidR="00DA0C67" w:rsidRDefault="00DA0C67" w:rsidP="00DA0C67">
      <w:pPr>
        <w:pStyle w:val="ListParagraph"/>
        <w:numPr>
          <w:ilvl w:val="0"/>
          <w:numId w:val="32"/>
        </w:numPr>
        <w:spacing w:after="0"/>
        <w:ind w:left="714" w:hanging="357"/>
      </w:pPr>
      <w:r>
        <w:lastRenderedPageBreak/>
        <w:t>The mesolimbic pathway runs from the ventral tegmental area (VTA) to the Nucleus Accumbens (NAcc) and is widely thought be the brain reward pathway. Inhibition of this pathway is thought to reduce positive schi</w:t>
      </w:r>
      <w:r w:rsidR="00941B66">
        <w:t>zophrenia symptoms (see later)</w:t>
      </w:r>
    </w:p>
    <w:p w:rsidR="00DA0C67" w:rsidRDefault="00DA0C67" w:rsidP="00DA0C67">
      <w:pPr>
        <w:pStyle w:val="ListParagraph"/>
        <w:numPr>
          <w:ilvl w:val="0"/>
          <w:numId w:val="32"/>
        </w:numPr>
        <w:spacing w:after="0"/>
        <w:ind w:left="714" w:hanging="357"/>
      </w:pPr>
      <w:r>
        <w:t>The mesocortical pathway goes from VTA to the cerebrum and is important in executive functions and complex behavioural patterns. Inhibition of this pathway is thought to  increase the negative sympto</w:t>
      </w:r>
      <w:r w:rsidR="00941B66">
        <w:t>ms of schizophrenia (see later</w:t>
      </w:r>
      <w:r>
        <w:t>)</w:t>
      </w:r>
    </w:p>
    <w:p w:rsidR="00630291" w:rsidRPr="00630291" w:rsidRDefault="00DA0C67" w:rsidP="00DA0C67">
      <w:pPr>
        <w:pStyle w:val="ListParagraph"/>
        <w:numPr>
          <w:ilvl w:val="0"/>
          <w:numId w:val="32"/>
        </w:numPr>
        <w:spacing w:after="120"/>
        <w:ind w:left="714" w:hanging="357"/>
      </w:pPr>
      <w:r>
        <w:t>The tuberoinfundibular pathway runs from the arcuate nucleus to the median eminence. Inhibition results in hyperprolactinaemia</w:t>
      </w:r>
    </w:p>
    <w:p w:rsidR="00977D9A" w:rsidRPr="00F63039" w:rsidRDefault="00E04BA0" w:rsidP="00DE01DE">
      <w:pPr>
        <w:pStyle w:val="Heading2"/>
      </w:pPr>
      <w:r>
        <w:t>Parkinson’s disease</w:t>
      </w:r>
    </w:p>
    <w:p w:rsidR="006E4F7E" w:rsidRPr="006E4F7E" w:rsidRDefault="006E4F7E" w:rsidP="006E4F7E">
      <w:pPr>
        <w:pStyle w:val="Heading3"/>
      </w:pPr>
      <w:r w:rsidRPr="006E4F7E">
        <w:t>Epidemiology &amp; Pathophysiology</w:t>
      </w:r>
    </w:p>
    <w:p w:rsidR="006E4F7E" w:rsidRDefault="006E4F7E" w:rsidP="00DE01DE">
      <w:pPr>
        <w:rPr>
          <w:rFonts w:cs="Arial"/>
        </w:rPr>
      </w:pPr>
      <w:r>
        <w:rPr>
          <w:rFonts w:cs="Arial"/>
        </w:rPr>
        <w:t>Parkinson’s disease (PD) is thought to affect around 1-2% of the general population above the age of 60 and prevalence rates increase with advancing age.</w:t>
      </w:r>
      <w:r w:rsidR="00AD7397">
        <w:rPr>
          <w:rFonts w:cs="Arial"/>
        </w:rPr>
        <w:t xml:space="preserve"> There are gender associated differences in disease prevalence and it is thought to affect men more often than women. There is also a higher prevalence in</w:t>
      </w:r>
      <w:r w:rsidR="00941B66">
        <w:rPr>
          <w:rFonts w:cs="Arial"/>
        </w:rPr>
        <w:t xml:space="preserve"> Caucasians than Afro-Caribbean</w:t>
      </w:r>
      <w:r w:rsidR="00AD7397">
        <w:rPr>
          <w:rFonts w:cs="Arial"/>
        </w:rPr>
        <w:t xml:space="preserve">s. 95% of cases are idiopathic and </w:t>
      </w:r>
      <w:r w:rsidR="007E0E06">
        <w:rPr>
          <w:rFonts w:cs="Arial"/>
        </w:rPr>
        <w:t xml:space="preserve">familial (usually </w:t>
      </w:r>
      <w:r w:rsidR="00AD7397">
        <w:rPr>
          <w:rFonts w:cs="Arial"/>
        </w:rPr>
        <w:t>early-onset</w:t>
      </w:r>
      <w:r w:rsidR="007E0E06">
        <w:rPr>
          <w:rFonts w:cs="Arial"/>
        </w:rPr>
        <w:t>)</w:t>
      </w:r>
      <w:r w:rsidR="00AD7397">
        <w:rPr>
          <w:rFonts w:cs="Arial"/>
        </w:rPr>
        <w:t xml:space="preserve"> PD has been associated with mutations in a number of candidate genes, most notably </w:t>
      </w:r>
      <w:r w:rsidR="007A3490">
        <w:rPr>
          <w:rFonts w:cs="Arial"/>
        </w:rPr>
        <w:t xml:space="preserve">LRRK2, Parkin (also known as PARK8 &amp; PARK2, respectively), PINK1 and </w:t>
      </w:r>
      <w:r w:rsidR="00AD7397">
        <w:rPr>
          <w:rFonts w:cs="Arial"/>
        </w:rPr>
        <w:t>SNCA.</w:t>
      </w:r>
    </w:p>
    <w:p w:rsidR="004D3019" w:rsidRDefault="004D3019" w:rsidP="00DE01DE">
      <w:pPr>
        <w:rPr>
          <w:rFonts w:cs="Arial"/>
        </w:rPr>
      </w:pPr>
      <w:r>
        <w:rPr>
          <w:rFonts w:cs="Arial"/>
        </w:rPr>
        <w:t xml:space="preserve">Historically, Parkinson’s disease (PD) has always been considered a neurodegenerative disorder resulting from substantial loss of the dopaminergic neurones projecting from the substantia nigra pars compacta (SNc) to the striatum (i.e. the nigrostriatal tract). Although, this neuronal loss is a key feature of PD, and responsible for the characteristic motor deficits, it is now thought that this element occurs at the later stages of the disease. </w:t>
      </w:r>
    </w:p>
    <w:p w:rsidR="00977D9A" w:rsidRDefault="004D3019" w:rsidP="00DE01DE">
      <w:pPr>
        <w:rPr>
          <w:rFonts w:cs="Arial"/>
        </w:rPr>
      </w:pPr>
      <w:r>
        <w:rPr>
          <w:rFonts w:cs="Arial"/>
        </w:rPr>
        <w:t xml:space="preserve">At the systems level, the loss of SNc dopaminergic neurones is a key characteristic but at the cellular level a pathognomonic feature is the presence of dense aggregates, known as Lewy bodies/ </w:t>
      </w:r>
      <w:r w:rsidR="00137CCC">
        <w:rPr>
          <w:rFonts w:cs="Arial"/>
        </w:rPr>
        <w:t>neurite</w:t>
      </w:r>
      <w:r>
        <w:rPr>
          <w:rFonts w:cs="Arial"/>
        </w:rPr>
        <w:t>s. Whereas Lewy bodies are primarily found with the perikarya (cell body) of neurones, the Lewy neurites are</w:t>
      </w:r>
      <w:r w:rsidR="00DD6ECF">
        <w:rPr>
          <w:rFonts w:cs="Arial"/>
        </w:rPr>
        <w:t xml:space="preserve"> solely present within neuronal projections (mainly the axons).</w:t>
      </w:r>
      <w:r>
        <w:rPr>
          <w:rFonts w:cs="Arial"/>
        </w:rPr>
        <w:t xml:space="preserve"> </w:t>
      </w:r>
      <w:r w:rsidR="00137CCC">
        <w:rPr>
          <w:rFonts w:cs="Arial"/>
        </w:rPr>
        <w:t xml:space="preserve">The Lewy aggregates are known to contain abnormally phosphorylated neurofilaments, ubiquitin and </w:t>
      </w:r>
      <w:r w:rsidR="00137CCC">
        <w:rPr>
          <w:rFonts w:cs="Arial"/>
        </w:rPr>
        <w:sym w:font="Symbol" w:char="F061"/>
      </w:r>
      <w:r w:rsidR="00137CCC">
        <w:rPr>
          <w:rFonts w:cs="Arial"/>
        </w:rPr>
        <w:t>-synuclein.</w:t>
      </w:r>
      <w:r>
        <w:rPr>
          <w:rFonts w:cs="Arial"/>
        </w:rPr>
        <w:t xml:space="preserve">   </w:t>
      </w:r>
    </w:p>
    <w:p w:rsidR="00137CCC" w:rsidRPr="00F63039" w:rsidRDefault="00137CCC" w:rsidP="00DE01DE">
      <w:pPr>
        <w:rPr>
          <w:rFonts w:cs="Arial"/>
        </w:rPr>
      </w:pPr>
      <w:r>
        <w:rPr>
          <w:rFonts w:cs="Arial"/>
        </w:rPr>
        <w:t xml:space="preserve">At the sub-cellular and molecular levels, mitochondrial dysfunction (complex I deficiency); oxidative stress, L-type calcium channels and inflammation have all been </w:t>
      </w:r>
      <w:r w:rsidR="009443AA">
        <w:rPr>
          <w:rFonts w:cs="Arial"/>
        </w:rPr>
        <w:t>linked to PD aetiology.</w:t>
      </w:r>
      <w:r>
        <w:rPr>
          <w:rFonts w:cs="Arial"/>
        </w:rPr>
        <w:t xml:space="preserve">  </w:t>
      </w:r>
    </w:p>
    <w:p w:rsidR="009443AA" w:rsidRDefault="00E04BA0" w:rsidP="009443AA">
      <w:pPr>
        <w:pStyle w:val="Heading3"/>
      </w:pPr>
      <w:r w:rsidRPr="006E4F7E">
        <w:t>Symptoms</w:t>
      </w:r>
    </w:p>
    <w:p w:rsidR="00977D9A" w:rsidRDefault="009443AA" w:rsidP="009443AA">
      <w:pPr>
        <w:spacing w:after="120"/>
      </w:pPr>
      <w:r>
        <w:t>The cardinal features of PD are the motor symptoms which include:</w:t>
      </w:r>
    </w:p>
    <w:p w:rsidR="009443AA" w:rsidRDefault="009443AA" w:rsidP="009443AA">
      <w:pPr>
        <w:pStyle w:val="ListParagraph"/>
        <w:numPr>
          <w:ilvl w:val="0"/>
          <w:numId w:val="25"/>
        </w:numPr>
        <w:spacing w:after="0"/>
        <w:ind w:left="714" w:hanging="357"/>
      </w:pPr>
      <w:r>
        <w:t>Resting tremor</w:t>
      </w:r>
      <w:r w:rsidR="00DA5BEC">
        <w:t>: a 4-6 Hz tremor that occurs at rest</w:t>
      </w:r>
    </w:p>
    <w:p w:rsidR="009443AA" w:rsidRDefault="009443AA" w:rsidP="009443AA">
      <w:pPr>
        <w:pStyle w:val="ListParagraph"/>
        <w:numPr>
          <w:ilvl w:val="0"/>
          <w:numId w:val="25"/>
        </w:numPr>
        <w:spacing w:after="0"/>
        <w:ind w:left="714" w:hanging="357"/>
      </w:pPr>
      <w:r>
        <w:t>Bradykinesia: slow movement</w:t>
      </w:r>
      <w:r w:rsidR="00DA5BEC">
        <w:t xml:space="preserve"> that is often considered to be the defining feature of PD</w:t>
      </w:r>
    </w:p>
    <w:p w:rsidR="009443AA" w:rsidRDefault="009443AA" w:rsidP="009443AA">
      <w:pPr>
        <w:pStyle w:val="ListParagraph"/>
        <w:numPr>
          <w:ilvl w:val="0"/>
          <w:numId w:val="25"/>
        </w:numPr>
        <w:spacing w:after="0"/>
        <w:ind w:left="714" w:hanging="357"/>
      </w:pPr>
      <w:r>
        <w:t>Rigidity:</w:t>
      </w:r>
      <w:r w:rsidR="00DA5BEC">
        <w:t xml:space="preserve"> muscular hypertonicity and resistance to movement</w:t>
      </w:r>
    </w:p>
    <w:p w:rsidR="009443AA" w:rsidRDefault="009443AA" w:rsidP="00DA5BEC">
      <w:pPr>
        <w:pStyle w:val="ListParagraph"/>
        <w:numPr>
          <w:ilvl w:val="0"/>
          <w:numId w:val="25"/>
        </w:numPr>
        <w:spacing w:after="120"/>
        <w:ind w:left="714" w:hanging="357"/>
      </w:pPr>
      <w:r>
        <w:t>Postural instability</w:t>
      </w:r>
      <w:r w:rsidR="00DA5BEC">
        <w:t>: typically occurs later in the disease</w:t>
      </w:r>
      <w:r w:rsidR="008A7E5C">
        <w:t xml:space="preserve"> and is accompanied by a shuffling gait</w:t>
      </w:r>
    </w:p>
    <w:p w:rsidR="008A7E5C" w:rsidRDefault="008A7E5C" w:rsidP="008A7E5C">
      <w:pPr>
        <w:spacing w:after="120"/>
      </w:pPr>
      <w:r>
        <w:t>There are also several ‘non-motor’ symptoms that are commonly seen in PD patients and these can be broadly categorised</w:t>
      </w:r>
      <w:r w:rsidR="00141C97">
        <w:t xml:space="preserve"> into effects on the autonomic nervous system and neuropsychiatric changes (see table 1) </w:t>
      </w:r>
    </w:p>
    <w:p w:rsidR="0013698C" w:rsidRDefault="0013698C">
      <w:pPr>
        <w:spacing w:after="0" w:line="240" w:lineRule="auto"/>
        <w:jc w:val="left"/>
        <w:rPr>
          <w:b/>
        </w:rPr>
      </w:pPr>
      <w:r>
        <w:rPr>
          <w:b/>
        </w:rPr>
        <w:br w:type="page"/>
      </w:r>
    </w:p>
    <w:p w:rsidR="00DA0C67" w:rsidRPr="00DA0C67" w:rsidRDefault="00DA0C67" w:rsidP="008A7E5C">
      <w:pPr>
        <w:spacing w:after="120"/>
        <w:rPr>
          <w:b/>
        </w:rPr>
      </w:pPr>
      <w:r>
        <w:rPr>
          <w:b/>
        </w:rPr>
        <w:lastRenderedPageBreak/>
        <w:t>Table 1: Details of the non-motor deficits seen in Parkinson’s disease</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6887"/>
      </w:tblGrid>
      <w:tr w:rsidR="00630064" w:rsidRPr="00E54898" w:rsidTr="00630064">
        <w:trPr>
          <w:trHeight w:val="545"/>
        </w:trPr>
        <w:tc>
          <w:tcPr>
            <w:tcW w:w="3318" w:type="dxa"/>
            <w:shd w:val="clear" w:color="auto" w:fill="D9D9D9" w:themeFill="background1" w:themeFillShade="D9"/>
            <w:vAlign w:val="center"/>
          </w:tcPr>
          <w:p w:rsidR="00630064" w:rsidRPr="00630064" w:rsidRDefault="00630064" w:rsidP="00630064">
            <w:pPr>
              <w:spacing w:after="0" w:line="240" w:lineRule="auto"/>
              <w:jc w:val="left"/>
              <w:rPr>
                <w:rFonts w:cs="Arial"/>
                <w:b/>
                <w:bCs/>
              </w:rPr>
            </w:pPr>
            <w:r w:rsidRPr="00630064">
              <w:rPr>
                <w:rFonts w:cs="Arial"/>
                <w:b/>
                <w:bCs/>
              </w:rPr>
              <w:t>Autonomic system disorders</w:t>
            </w:r>
          </w:p>
        </w:tc>
        <w:tc>
          <w:tcPr>
            <w:tcW w:w="6887" w:type="dxa"/>
            <w:shd w:val="clear" w:color="auto" w:fill="D9D9D9" w:themeFill="background1" w:themeFillShade="D9"/>
            <w:vAlign w:val="center"/>
          </w:tcPr>
          <w:p w:rsidR="00630064" w:rsidRPr="00630064" w:rsidRDefault="005D0533" w:rsidP="0086254C">
            <w:pPr>
              <w:spacing w:after="0" w:line="240" w:lineRule="auto"/>
              <w:jc w:val="left"/>
              <w:rPr>
                <w:rFonts w:cs="Arial"/>
                <w:b/>
                <w:bCs/>
              </w:rPr>
            </w:pPr>
            <w:r>
              <w:rPr>
                <w:rFonts w:cs="Arial"/>
                <w:b/>
                <w:bCs/>
              </w:rPr>
              <w:t>Prevalence in PD</w:t>
            </w:r>
          </w:p>
        </w:tc>
      </w:tr>
      <w:tr w:rsidR="00630064" w:rsidRPr="00E54898" w:rsidTr="0086254C">
        <w:trPr>
          <w:trHeight w:val="562"/>
        </w:trPr>
        <w:tc>
          <w:tcPr>
            <w:tcW w:w="3318" w:type="dxa"/>
            <w:shd w:val="clear" w:color="auto" w:fill="auto"/>
            <w:vAlign w:val="center"/>
          </w:tcPr>
          <w:p w:rsidR="00630064" w:rsidRPr="00040279" w:rsidRDefault="00630064" w:rsidP="00097F1A">
            <w:pPr>
              <w:spacing w:after="0" w:line="240" w:lineRule="auto"/>
              <w:jc w:val="left"/>
              <w:rPr>
                <w:rFonts w:cs="Arial"/>
              </w:rPr>
            </w:pPr>
            <w:r w:rsidRPr="00040279">
              <w:rPr>
                <w:rFonts w:cs="Arial"/>
              </w:rPr>
              <w:t>Olfactory deficits</w:t>
            </w:r>
          </w:p>
        </w:tc>
        <w:tc>
          <w:tcPr>
            <w:tcW w:w="6887" w:type="dxa"/>
            <w:shd w:val="clear" w:color="auto" w:fill="auto"/>
            <w:vAlign w:val="center"/>
          </w:tcPr>
          <w:p w:rsidR="00630064" w:rsidRPr="00E54898" w:rsidRDefault="001E2E07" w:rsidP="0086254C">
            <w:pPr>
              <w:spacing w:after="0" w:line="240" w:lineRule="auto"/>
              <w:jc w:val="left"/>
              <w:rPr>
                <w:rFonts w:cs="Arial"/>
              </w:rPr>
            </w:pPr>
            <w:r>
              <w:rPr>
                <w:rFonts w:cs="Arial"/>
              </w:rPr>
              <w:t>Estimates vary between 70-98% of patients</w:t>
            </w:r>
          </w:p>
        </w:tc>
      </w:tr>
      <w:tr w:rsidR="00630064" w:rsidRPr="00E54898" w:rsidTr="0086254C">
        <w:trPr>
          <w:trHeight w:val="584"/>
        </w:trPr>
        <w:tc>
          <w:tcPr>
            <w:tcW w:w="3318" w:type="dxa"/>
            <w:shd w:val="clear" w:color="auto" w:fill="auto"/>
            <w:vAlign w:val="center"/>
          </w:tcPr>
          <w:p w:rsidR="00097F1A" w:rsidRPr="00040279" w:rsidRDefault="00097F1A" w:rsidP="00097F1A">
            <w:pPr>
              <w:spacing w:after="0" w:line="240" w:lineRule="auto"/>
              <w:jc w:val="left"/>
              <w:rPr>
                <w:rFonts w:cs="Arial"/>
              </w:rPr>
            </w:pPr>
            <w:r w:rsidRPr="00040279">
              <w:rPr>
                <w:rFonts w:cs="Arial"/>
              </w:rPr>
              <w:t>Gastrointestinal symptoms</w:t>
            </w:r>
          </w:p>
          <w:p w:rsidR="00097F1A" w:rsidRPr="00040279" w:rsidRDefault="00097F1A" w:rsidP="00097F1A">
            <w:pPr>
              <w:pStyle w:val="ListParagraph"/>
              <w:numPr>
                <w:ilvl w:val="0"/>
                <w:numId w:val="27"/>
              </w:numPr>
              <w:spacing w:after="0" w:line="240" w:lineRule="auto"/>
              <w:ind w:left="426" w:hanging="284"/>
              <w:jc w:val="left"/>
              <w:rPr>
                <w:rFonts w:cs="Arial"/>
              </w:rPr>
            </w:pPr>
            <w:r w:rsidRPr="00040279">
              <w:rPr>
                <w:rFonts w:cs="Arial"/>
              </w:rPr>
              <w:t>Constipation</w:t>
            </w:r>
          </w:p>
          <w:p w:rsidR="00630064" w:rsidRPr="00040279" w:rsidRDefault="00097F1A" w:rsidP="00097F1A">
            <w:pPr>
              <w:pStyle w:val="ListParagraph"/>
              <w:numPr>
                <w:ilvl w:val="0"/>
                <w:numId w:val="27"/>
              </w:numPr>
              <w:spacing w:after="0" w:line="240" w:lineRule="auto"/>
              <w:ind w:left="426" w:hanging="284"/>
              <w:jc w:val="left"/>
              <w:rPr>
                <w:rFonts w:cs="Arial"/>
              </w:rPr>
            </w:pPr>
            <w:r w:rsidRPr="00040279">
              <w:rPr>
                <w:rFonts w:cs="Arial"/>
              </w:rPr>
              <w:t>Nausea</w:t>
            </w:r>
          </w:p>
        </w:tc>
        <w:tc>
          <w:tcPr>
            <w:tcW w:w="6887" w:type="dxa"/>
            <w:shd w:val="clear" w:color="auto" w:fill="auto"/>
            <w:vAlign w:val="center"/>
          </w:tcPr>
          <w:p w:rsidR="00630064" w:rsidRPr="001E2E07" w:rsidRDefault="001E2E07" w:rsidP="0086254C">
            <w:pPr>
              <w:spacing w:after="0" w:line="240" w:lineRule="auto"/>
              <w:jc w:val="left"/>
              <w:rPr>
                <w:rFonts w:cs="Arial"/>
              </w:rPr>
            </w:pPr>
            <w:r w:rsidRPr="001E2E07">
              <w:rPr>
                <w:rFonts w:cs="Arial"/>
              </w:rPr>
              <w:t>Esti</w:t>
            </w:r>
            <w:r w:rsidR="00D45631">
              <w:rPr>
                <w:rFonts w:cs="Arial"/>
              </w:rPr>
              <w:t>mates vary between 40-60% of pa</w:t>
            </w:r>
            <w:r w:rsidRPr="001E2E07">
              <w:rPr>
                <w:rFonts w:cs="Arial"/>
              </w:rPr>
              <w:t>tients</w:t>
            </w:r>
          </w:p>
        </w:tc>
      </w:tr>
      <w:tr w:rsidR="00630064" w:rsidRPr="00E54898" w:rsidTr="0086254C">
        <w:trPr>
          <w:trHeight w:val="584"/>
        </w:trPr>
        <w:tc>
          <w:tcPr>
            <w:tcW w:w="3318" w:type="dxa"/>
            <w:shd w:val="clear" w:color="auto" w:fill="auto"/>
            <w:vAlign w:val="center"/>
          </w:tcPr>
          <w:p w:rsidR="00630064" w:rsidRPr="00040279" w:rsidRDefault="00630064" w:rsidP="00097F1A">
            <w:pPr>
              <w:spacing w:after="0" w:line="240" w:lineRule="auto"/>
              <w:jc w:val="left"/>
              <w:rPr>
                <w:rFonts w:cs="Arial"/>
              </w:rPr>
            </w:pPr>
            <w:r w:rsidRPr="00040279">
              <w:rPr>
                <w:rFonts w:cs="Arial"/>
              </w:rPr>
              <w:t>Urogenital dysfunction</w:t>
            </w:r>
          </w:p>
          <w:p w:rsidR="00097F1A" w:rsidRPr="00040279" w:rsidRDefault="00097F1A" w:rsidP="00097F1A">
            <w:pPr>
              <w:pStyle w:val="ListParagraph"/>
              <w:numPr>
                <w:ilvl w:val="0"/>
                <w:numId w:val="26"/>
              </w:numPr>
              <w:spacing w:after="0" w:line="240" w:lineRule="auto"/>
              <w:ind w:left="426" w:hanging="284"/>
              <w:jc w:val="left"/>
              <w:rPr>
                <w:rFonts w:cs="Arial"/>
              </w:rPr>
            </w:pPr>
            <w:r w:rsidRPr="00040279">
              <w:rPr>
                <w:rFonts w:cs="Arial"/>
              </w:rPr>
              <w:t>Bladder problems</w:t>
            </w:r>
          </w:p>
          <w:p w:rsidR="00097F1A" w:rsidRPr="00040279" w:rsidRDefault="00097F1A" w:rsidP="00097F1A">
            <w:pPr>
              <w:pStyle w:val="ListParagraph"/>
              <w:numPr>
                <w:ilvl w:val="0"/>
                <w:numId w:val="26"/>
              </w:numPr>
              <w:spacing w:after="0" w:line="240" w:lineRule="auto"/>
              <w:ind w:left="426" w:hanging="284"/>
              <w:jc w:val="left"/>
              <w:rPr>
                <w:rFonts w:cs="Arial"/>
              </w:rPr>
            </w:pPr>
            <w:r w:rsidRPr="00040279">
              <w:rPr>
                <w:rFonts w:cs="Arial"/>
              </w:rPr>
              <w:t>Sexual dysfunction</w:t>
            </w:r>
          </w:p>
        </w:tc>
        <w:tc>
          <w:tcPr>
            <w:tcW w:w="6887" w:type="dxa"/>
            <w:shd w:val="clear" w:color="auto" w:fill="auto"/>
            <w:vAlign w:val="center"/>
          </w:tcPr>
          <w:p w:rsidR="00630064" w:rsidRPr="00D45631" w:rsidRDefault="008A1BD5" w:rsidP="0086254C">
            <w:pPr>
              <w:spacing w:after="0" w:line="240" w:lineRule="auto"/>
              <w:jc w:val="left"/>
              <w:rPr>
                <w:rFonts w:cs="Arial"/>
              </w:rPr>
            </w:pPr>
            <w:r>
              <w:rPr>
                <w:rFonts w:cs="Arial"/>
              </w:rPr>
              <w:t xml:space="preserve">Estimates vary </w:t>
            </w:r>
            <w:r w:rsidR="00D45631">
              <w:rPr>
                <w:rFonts w:cs="Arial"/>
              </w:rPr>
              <w:t>between 30-80% of patients</w:t>
            </w:r>
          </w:p>
        </w:tc>
      </w:tr>
      <w:tr w:rsidR="00630064" w:rsidRPr="00E54898" w:rsidTr="0086254C">
        <w:trPr>
          <w:trHeight w:val="584"/>
        </w:trPr>
        <w:tc>
          <w:tcPr>
            <w:tcW w:w="3318" w:type="dxa"/>
            <w:shd w:val="clear" w:color="auto" w:fill="auto"/>
            <w:vAlign w:val="center"/>
          </w:tcPr>
          <w:p w:rsidR="00630064" w:rsidRPr="00040279" w:rsidRDefault="00630064" w:rsidP="00097F1A">
            <w:pPr>
              <w:spacing w:after="0" w:line="240" w:lineRule="auto"/>
              <w:jc w:val="left"/>
              <w:rPr>
                <w:rFonts w:cs="Arial"/>
              </w:rPr>
            </w:pPr>
            <w:r w:rsidRPr="00040279">
              <w:rPr>
                <w:rFonts w:cs="Arial"/>
              </w:rPr>
              <w:t>Orthostatic hypertension</w:t>
            </w:r>
          </w:p>
        </w:tc>
        <w:tc>
          <w:tcPr>
            <w:tcW w:w="6887" w:type="dxa"/>
            <w:shd w:val="clear" w:color="auto" w:fill="auto"/>
            <w:vAlign w:val="center"/>
          </w:tcPr>
          <w:p w:rsidR="005D0533" w:rsidRDefault="005D0533" w:rsidP="0086254C">
            <w:pPr>
              <w:spacing w:after="0" w:line="240" w:lineRule="auto"/>
              <w:jc w:val="left"/>
              <w:rPr>
                <w:rFonts w:cs="Arial"/>
              </w:rPr>
            </w:pPr>
            <w:r>
              <w:rPr>
                <w:rFonts w:cs="Arial"/>
              </w:rPr>
              <w:t>Estimates vary between 30-60% of patients</w:t>
            </w:r>
          </w:p>
          <w:p w:rsidR="00630064" w:rsidRPr="00E54898" w:rsidRDefault="00630064" w:rsidP="0086254C">
            <w:pPr>
              <w:spacing w:after="0" w:line="240" w:lineRule="auto"/>
              <w:jc w:val="left"/>
              <w:rPr>
                <w:rFonts w:cs="Arial"/>
              </w:rPr>
            </w:pPr>
          </w:p>
        </w:tc>
      </w:tr>
      <w:tr w:rsidR="00630064" w:rsidRPr="00E54898" w:rsidTr="0086254C">
        <w:trPr>
          <w:trHeight w:val="584"/>
        </w:trPr>
        <w:tc>
          <w:tcPr>
            <w:tcW w:w="3318" w:type="dxa"/>
            <w:shd w:val="clear" w:color="auto" w:fill="D9D9D9" w:themeFill="background1" w:themeFillShade="D9"/>
            <w:vAlign w:val="center"/>
          </w:tcPr>
          <w:p w:rsidR="00630064" w:rsidRPr="00630064" w:rsidRDefault="00630064" w:rsidP="00630064">
            <w:pPr>
              <w:spacing w:after="0" w:line="240" w:lineRule="auto"/>
              <w:jc w:val="left"/>
              <w:rPr>
                <w:rFonts w:cs="Arial"/>
                <w:b/>
              </w:rPr>
            </w:pPr>
            <w:r w:rsidRPr="00630064">
              <w:rPr>
                <w:rFonts w:cs="Arial"/>
                <w:b/>
              </w:rPr>
              <w:t>Neuropsychiatric</w:t>
            </w:r>
            <w:r>
              <w:rPr>
                <w:rFonts w:cs="Arial"/>
                <w:b/>
              </w:rPr>
              <w:t xml:space="preserve"> disorders</w:t>
            </w:r>
          </w:p>
        </w:tc>
        <w:tc>
          <w:tcPr>
            <w:tcW w:w="6887" w:type="dxa"/>
            <w:shd w:val="clear" w:color="auto" w:fill="D9D9D9" w:themeFill="background1" w:themeFillShade="D9"/>
            <w:vAlign w:val="center"/>
          </w:tcPr>
          <w:p w:rsidR="00630064" w:rsidRPr="00630064" w:rsidRDefault="0071420D" w:rsidP="0086254C">
            <w:pPr>
              <w:spacing w:after="0" w:line="240" w:lineRule="auto"/>
              <w:jc w:val="left"/>
              <w:rPr>
                <w:rFonts w:cs="Arial"/>
                <w:b/>
              </w:rPr>
            </w:pPr>
            <w:r>
              <w:rPr>
                <w:rFonts w:cs="Arial"/>
                <w:b/>
                <w:bCs/>
              </w:rPr>
              <w:t>Prevalence in PD</w:t>
            </w:r>
          </w:p>
        </w:tc>
      </w:tr>
      <w:tr w:rsidR="00630064" w:rsidRPr="00E54898" w:rsidTr="0086254C">
        <w:trPr>
          <w:trHeight w:val="191"/>
        </w:trPr>
        <w:tc>
          <w:tcPr>
            <w:tcW w:w="3318" w:type="dxa"/>
            <w:shd w:val="clear" w:color="auto" w:fill="auto"/>
            <w:vAlign w:val="center"/>
          </w:tcPr>
          <w:p w:rsidR="00097F1A" w:rsidRPr="00040279" w:rsidRDefault="00097F1A" w:rsidP="00097F1A">
            <w:pPr>
              <w:spacing w:after="0" w:line="240" w:lineRule="auto"/>
              <w:jc w:val="left"/>
              <w:rPr>
                <w:rFonts w:cs="Arial"/>
              </w:rPr>
            </w:pPr>
            <w:r w:rsidRPr="00040279">
              <w:rPr>
                <w:rFonts w:cs="Arial"/>
              </w:rPr>
              <w:t>Sleep disorders</w:t>
            </w:r>
          </w:p>
          <w:p w:rsidR="00097F1A" w:rsidRPr="00040279" w:rsidRDefault="00097F1A" w:rsidP="00097F1A">
            <w:pPr>
              <w:pStyle w:val="ListParagraph"/>
              <w:numPr>
                <w:ilvl w:val="0"/>
                <w:numId w:val="28"/>
              </w:numPr>
              <w:spacing w:after="0" w:line="240" w:lineRule="auto"/>
              <w:ind w:left="426" w:hanging="284"/>
              <w:jc w:val="left"/>
              <w:rPr>
                <w:rFonts w:cs="Arial"/>
              </w:rPr>
            </w:pPr>
            <w:r w:rsidRPr="00040279">
              <w:rPr>
                <w:rFonts w:cs="Arial"/>
              </w:rPr>
              <w:t>REM</w:t>
            </w:r>
            <w:r w:rsidR="005D0533" w:rsidRPr="00040279">
              <w:rPr>
                <w:rFonts w:cs="Arial"/>
              </w:rPr>
              <w:t xml:space="preserve"> sleep</w:t>
            </w:r>
            <w:r w:rsidRPr="00040279">
              <w:rPr>
                <w:rFonts w:cs="Arial"/>
              </w:rPr>
              <w:t xml:space="preserve"> disorder</w:t>
            </w:r>
            <w:r w:rsidR="00D45631" w:rsidRPr="00040279">
              <w:rPr>
                <w:rFonts w:cs="Arial"/>
              </w:rPr>
              <w:t xml:space="preserve"> (RSD)</w:t>
            </w:r>
          </w:p>
          <w:p w:rsidR="00097F1A" w:rsidRPr="00040279" w:rsidRDefault="00097F1A" w:rsidP="00097F1A">
            <w:pPr>
              <w:pStyle w:val="ListParagraph"/>
              <w:numPr>
                <w:ilvl w:val="0"/>
                <w:numId w:val="28"/>
              </w:numPr>
              <w:spacing w:after="0" w:line="240" w:lineRule="auto"/>
              <w:ind w:left="426" w:hanging="284"/>
              <w:jc w:val="left"/>
              <w:rPr>
                <w:rFonts w:cs="Arial"/>
              </w:rPr>
            </w:pPr>
            <w:r w:rsidRPr="00040279">
              <w:rPr>
                <w:rFonts w:cs="Arial"/>
              </w:rPr>
              <w:t>Insomnia</w:t>
            </w:r>
          </w:p>
        </w:tc>
        <w:tc>
          <w:tcPr>
            <w:tcW w:w="6887" w:type="dxa"/>
            <w:shd w:val="clear" w:color="auto" w:fill="auto"/>
            <w:vAlign w:val="center"/>
          </w:tcPr>
          <w:p w:rsidR="00630064" w:rsidRPr="00E54898" w:rsidRDefault="001E2E07" w:rsidP="0086254C">
            <w:pPr>
              <w:spacing w:after="0" w:line="240" w:lineRule="auto"/>
              <w:jc w:val="left"/>
              <w:rPr>
                <w:rFonts w:cs="Arial"/>
              </w:rPr>
            </w:pPr>
            <w:r>
              <w:rPr>
                <w:rFonts w:cs="Arial"/>
              </w:rPr>
              <w:t xml:space="preserve">Estimates vary between 60-90% </w:t>
            </w:r>
            <w:r w:rsidR="005D0533">
              <w:rPr>
                <w:rFonts w:cs="Arial"/>
              </w:rPr>
              <w:t>of patients</w:t>
            </w:r>
            <w:r w:rsidR="00D45631">
              <w:rPr>
                <w:rFonts w:cs="Arial"/>
              </w:rPr>
              <w:t>. RSD is considered as a good clinical marker for PD</w:t>
            </w:r>
          </w:p>
        </w:tc>
      </w:tr>
      <w:tr w:rsidR="00097F1A" w:rsidRPr="00E54898" w:rsidTr="0086254C">
        <w:trPr>
          <w:trHeight w:val="563"/>
        </w:trPr>
        <w:tc>
          <w:tcPr>
            <w:tcW w:w="3318" w:type="dxa"/>
            <w:shd w:val="clear" w:color="auto" w:fill="auto"/>
            <w:vAlign w:val="center"/>
          </w:tcPr>
          <w:p w:rsidR="00097F1A" w:rsidRPr="00040279" w:rsidRDefault="00097F1A" w:rsidP="00097F1A">
            <w:pPr>
              <w:spacing w:after="0" w:line="240" w:lineRule="auto"/>
              <w:jc w:val="left"/>
              <w:rPr>
                <w:rFonts w:cs="Arial"/>
              </w:rPr>
            </w:pPr>
            <w:r w:rsidRPr="00040279">
              <w:rPr>
                <w:rFonts w:cs="Arial"/>
              </w:rPr>
              <w:t>Mood disorders</w:t>
            </w:r>
          </w:p>
          <w:p w:rsidR="00097F1A" w:rsidRPr="00040279" w:rsidRDefault="00097F1A" w:rsidP="00097F1A">
            <w:pPr>
              <w:pStyle w:val="ListParagraph"/>
              <w:numPr>
                <w:ilvl w:val="0"/>
                <w:numId w:val="29"/>
              </w:numPr>
              <w:spacing w:after="0" w:line="240" w:lineRule="auto"/>
              <w:ind w:left="426" w:hanging="284"/>
              <w:jc w:val="left"/>
              <w:rPr>
                <w:rFonts w:cs="Arial"/>
              </w:rPr>
            </w:pPr>
            <w:r w:rsidRPr="00040279">
              <w:rPr>
                <w:rFonts w:cs="Arial"/>
              </w:rPr>
              <w:t>Anxiety</w:t>
            </w:r>
          </w:p>
          <w:p w:rsidR="00097F1A" w:rsidRPr="00040279" w:rsidRDefault="00097F1A" w:rsidP="00097F1A">
            <w:pPr>
              <w:pStyle w:val="ListParagraph"/>
              <w:numPr>
                <w:ilvl w:val="0"/>
                <w:numId w:val="29"/>
              </w:numPr>
              <w:spacing w:after="0" w:line="240" w:lineRule="auto"/>
              <w:ind w:left="426" w:hanging="284"/>
              <w:jc w:val="left"/>
              <w:rPr>
                <w:rFonts w:cs="Arial"/>
              </w:rPr>
            </w:pPr>
            <w:r w:rsidRPr="00040279">
              <w:rPr>
                <w:rFonts w:cs="Arial"/>
              </w:rPr>
              <w:t>Depression</w:t>
            </w:r>
          </w:p>
        </w:tc>
        <w:tc>
          <w:tcPr>
            <w:tcW w:w="6887" w:type="dxa"/>
            <w:shd w:val="clear" w:color="auto" w:fill="auto"/>
            <w:vAlign w:val="center"/>
          </w:tcPr>
          <w:p w:rsidR="00097F1A" w:rsidRPr="00E54898" w:rsidRDefault="001E2E07" w:rsidP="0086254C">
            <w:pPr>
              <w:spacing w:after="0" w:line="240" w:lineRule="auto"/>
              <w:jc w:val="left"/>
              <w:rPr>
                <w:rFonts w:cs="Arial"/>
              </w:rPr>
            </w:pPr>
            <w:r>
              <w:rPr>
                <w:rFonts w:cs="Arial"/>
              </w:rPr>
              <w:t>Estimates vary between 10-80% of patients</w:t>
            </w:r>
          </w:p>
        </w:tc>
      </w:tr>
      <w:tr w:rsidR="00097F1A" w:rsidRPr="00E54898" w:rsidTr="0086254C">
        <w:trPr>
          <w:trHeight w:val="563"/>
        </w:trPr>
        <w:tc>
          <w:tcPr>
            <w:tcW w:w="3318" w:type="dxa"/>
            <w:shd w:val="clear" w:color="auto" w:fill="auto"/>
            <w:vAlign w:val="center"/>
          </w:tcPr>
          <w:p w:rsidR="00097F1A" w:rsidRPr="00040279" w:rsidRDefault="001E2E07" w:rsidP="00097F1A">
            <w:pPr>
              <w:spacing w:after="0" w:line="240" w:lineRule="auto"/>
              <w:jc w:val="left"/>
              <w:rPr>
                <w:rFonts w:cs="Arial"/>
              </w:rPr>
            </w:pPr>
            <w:r w:rsidRPr="00040279">
              <w:rPr>
                <w:rFonts w:cs="Arial"/>
              </w:rPr>
              <w:t xml:space="preserve">Cognition &amp; </w:t>
            </w:r>
            <w:r w:rsidR="00097F1A" w:rsidRPr="00040279">
              <w:rPr>
                <w:rFonts w:cs="Arial"/>
              </w:rPr>
              <w:t>Psychosis</w:t>
            </w:r>
          </w:p>
        </w:tc>
        <w:tc>
          <w:tcPr>
            <w:tcW w:w="6887" w:type="dxa"/>
            <w:shd w:val="clear" w:color="auto" w:fill="auto"/>
            <w:vAlign w:val="center"/>
          </w:tcPr>
          <w:p w:rsidR="00097F1A" w:rsidRPr="00E54898" w:rsidRDefault="005D0533" w:rsidP="0086254C">
            <w:pPr>
              <w:spacing w:after="0" w:line="240" w:lineRule="auto"/>
              <w:jc w:val="left"/>
              <w:rPr>
                <w:rFonts w:cs="Arial"/>
              </w:rPr>
            </w:pPr>
            <w:r>
              <w:rPr>
                <w:rFonts w:cs="Arial"/>
              </w:rPr>
              <w:t>Reported prevalence of</w:t>
            </w:r>
            <w:r w:rsidR="001E2E07">
              <w:rPr>
                <w:rFonts w:cs="Arial"/>
              </w:rPr>
              <w:t xml:space="preserve"> 20-40%</w:t>
            </w:r>
          </w:p>
        </w:tc>
      </w:tr>
    </w:tbl>
    <w:p w:rsidR="00630064" w:rsidRPr="00F63039" w:rsidRDefault="00630064" w:rsidP="008A7E5C">
      <w:pPr>
        <w:spacing w:after="120"/>
      </w:pPr>
    </w:p>
    <w:p w:rsidR="00AE28F6" w:rsidRDefault="00E04BA0" w:rsidP="00AE28F6">
      <w:pPr>
        <w:pStyle w:val="Heading3"/>
      </w:pPr>
      <w:r>
        <w:t>Pharmacology</w:t>
      </w:r>
    </w:p>
    <w:p w:rsidR="0013698C" w:rsidRDefault="00141C97" w:rsidP="00AE28F6">
      <w:r>
        <w:t>The drugs currently licensed in the UK (April 2013) for the treatment of Parkinson’s disease are shown in table 2</w:t>
      </w:r>
      <w:r w:rsidR="0013698C">
        <w:t>.</w:t>
      </w:r>
    </w:p>
    <w:p w:rsidR="0013698C" w:rsidRPr="00C931F0" w:rsidRDefault="0013698C" w:rsidP="00C931F0">
      <w:pPr>
        <w:pStyle w:val="Heading4"/>
      </w:pPr>
      <w:r w:rsidRPr="00C931F0">
        <w:t>Dopamine (DA) replacement</w:t>
      </w:r>
      <w:r w:rsidR="00977D9A" w:rsidRPr="00C931F0">
        <w:t xml:space="preserve"> </w:t>
      </w:r>
    </w:p>
    <w:p w:rsidR="0013698C" w:rsidRDefault="0013698C" w:rsidP="00C61B59">
      <w:pPr>
        <w:pStyle w:val="text"/>
        <w:spacing w:after="120" w:afterAutospacing="0" w:line="276" w:lineRule="auto"/>
        <w:jc w:val="both"/>
        <w:rPr>
          <w:rFonts w:ascii="Arial" w:hAnsi="Arial" w:cs="Arial"/>
          <w:sz w:val="22"/>
          <w:szCs w:val="22"/>
        </w:rPr>
      </w:pPr>
      <w:r>
        <w:rPr>
          <w:rFonts w:ascii="Arial" w:hAnsi="Arial" w:cs="Arial"/>
          <w:sz w:val="22"/>
          <w:szCs w:val="22"/>
        </w:rPr>
        <w:t>Since DA is unable to cross the blood brain barrier</w:t>
      </w:r>
      <w:r w:rsidR="00C61B59">
        <w:rPr>
          <w:rFonts w:ascii="Arial" w:hAnsi="Arial" w:cs="Arial"/>
          <w:sz w:val="22"/>
          <w:szCs w:val="22"/>
        </w:rPr>
        <w:t xml:space="preserve"> (BBB)</w:t>
      </w:r>
      <w:r>
        <w:rPr>
          <w:rFonts w:ascii="Arial" w:hAnsi="Arial" w:cs="Arial"/>
          <w:sz w:val="22"/>
          <w:szCs w:val="22"/>
        </w:rPr>
        <w:t xml:space="preserve"> it is administered in the form of the precursor L-DOPA</w:t>
      </w:r>
      <w:r w:rsidR="00C61B59">
        <w:rPr>
          <w:rFonts w:ascii="Arial" w:hAnsi="Arial" w:cs="Arial"/>
          <w:sz w:val="22"/>
          <w:szCs w:val="22"/>
        </w:rPr>
        <w:t xml:space="preserve"> (levodopa)</w:t>
      </w:r>
      <w:r>
        <w:rPr>
          <w:rFonts w:ascii="Arial" w:hAnsi="Arial" w:cs="Arial"/>
          <w:sz w:val="22"/>
          <w:szCs w:val="22"/>
        </w:rPr>
        <w:t xml:space="preserve">. Replacement with tyrosine is also not an option </w:t>
      </w:r>
      <w:r w:rsidR="00C61B59">
        <w:rPr>
          <w:rFonts w:ascii="Arial" w:hAnsi="Arial" w:cs="Arial"/>
          <w:sz w:val="22"/>
          <w:szCs w:val="22"/>
        </w:rPr>
        <w:t>since</w:t>
      </w:r>
      <w:r>
        <w:rPr>
          <w:rFonts w:ascii="Arial" w:hAnsi="Arial" w:cs="Arial"/>
          <w:sz w:val="22"/>
          <w:szCs w:val="22"/>
        </w:rPr>
        <w:t xml:space="preserve"> tyrosine hydroxylase is the rate-limiting enzyme in the production of DA (see figure 1).</w:t>
      </w:r>
    </w:p>
    <w:p w:rsidR="00C61B59" w:rsidRDefault="00C61B59" w:rsidP="00C61B59">
      <w:pPr>
        <w:pStyle w:val="text"/>
        <w:spacing w:before="0" w:beforeAutospacing="0" w:after="120" w:afterAutospacing="0" w:line="276" w:lineRule="auto"/>
        <w:jc w:val="both"/>
        <w:rPr>
          <w:rFonts w:ascii="Arial" w:hAnsi="Arial" w:cs="Arial"/>
          <w:sz w:val="22"/>
          <w:szCs w:val="22"/>
        </w:rPr>
      </w:pPr>
      <w:r>
        <w:rPr>
          <w:rFonts w:ascii="Arial" w:hAnsi="Arial" w:cs="Arial"/>
          <w:sz w:val="22"/>
          <w:szCs w:val="22"/>
        </w:rPr>
        <w:t>Although levodopa is able to cross the BBB, peripheral DOPA decarboxylase enzymes are able to catalyse its conversion to DA in the periphery. This has two important consequences:</w:t>
      </w:r>
    </w:p>
    <w:p w:rsidR="00C61B59" w:rsidRDefault="00C61B59" w:rsidP="00C61B59">
      <w:pPr>
        <w:pStyle w:val="text"/>
        <w:numPr>
          <w:ilvl w:val="0"/>
          <w:numId w:val="33"/>
        </w:numPr>
        <w:spacing w:before="0" w:beforeAutospacing="0" w:after="0" w:afterAutospacing="0" w:line="276" w:lineRule="auto"/>
        <w:ind w:left="714" w:hanging="357"/>
        <w:jc w:val="both"/>
        <w:rPr>
          <w:rFonts w:ascii="Arial" w:hAnsi="Arial" w:cs="Arial"/>
          <w:sz w:val="22"/>
          <w:szCs w:val="22"/>
        </w:rPr>
      </w:pPr>
      <w:r>
        <w:rPr>
          <w:rFonts w:ascii="Arial" w:hAnsi="Arial" w:cs="Arial"/>
          <w:sz w:val="22"/>
          <w:szCs w:val="22"/>
        </w:rPr>
        <w:t>Peripheral DA production results in side-effects such as nausea &amp; vomiting</w:t>
      </w:r>
    </w:p>
    <w:p w:rsidR="00C61B59" w:rsidRDefault="00C61B59" w:rsidP="00C61B59">
      <w:pPr>
        <w:pStyle w:val="text"/>
        <w:numPr>
          <w:ilvl w:val="0"/>
          <w:numId w:val="33"/>
        </w:numPr>
        <w:spacing w:before="0" w:beforeAutospacing="0" w:after="120" w:afterAutospacing="0" w:line="276" w:lineRule="auto"/>
        <w:ind w:left="714" w:hanging="357"/>
        <w:jc w:val="both"/>
        <w:rPr>
          <w:rFonts w:ascii="Arial" w:hAnsi="Arial" w:cs="Arial"/>
          <w:sz w:val="22"/>
          <w:szCs w:val="22"/>
        </w:rPr>
      </w:pPr>
      <w:r>
        <w:rPr>
          <w:rFonts w:ascii="Arial" w:hAnsi="Arial" w:cs="Arial"/>
          <w:sz w:val="22"/>
          <w:szCs w:val="22"/>
        </w:rPr>
        <w:t>Higher concentrations of levodopa need to be administered to produce sufficient concentrations in the central nervous system</w:t>
      </w:r>
    </w:p>
    <w:p w:rsidR="00C61B59" w:rsidRDefault="00C61B59" w:rsidP="00C61B59">
      <w:pPr>
        <w:pStyle w:val="text"/>
        <w:spacing w:before="0" w:beforeAutospacing="0" w:after="0" w:afterAutospacing="0" w:line="276" w:lineRule="auto"/>
        <w:jc w:val="both"/>
        <w:rPr>
          <w:rFonts w:ascii="Arial" w:hAnsi="Arial" w:cs="Arial"/>
          <w:sz w:val="22"/>
          <w:szCs w:val="22"/>
        </w:rPr>
      </w:pPr>
      <w:r>
        <w:rPr>
          <w:rFonts w:ascii="Arial" w:hAnsi="Arial" w:cs="Arial"/>
          <w:sz w:val="22"/>
          <w:szCs w:val="22"/>
        </w:rPr>
        <w:t>For these reasons</w:t>
      </w:r>
      <w:r w:rsidR="00C931F0">
        <w:rPr>
          <w:rFonts w:ascii="Arial" w:hAnsi="Arial" w:cs="Arial"/>
          <w:sz w:val="22"/>
          <w:szCs w:val="22"/>
        </w:rPr>
        <w:t xml:space="preserve"> levodopa is always given in combination with a DOPA decarbo</w:t>
      </w:r>
      <w:r w:rsidR="0071420D">
        <w:rPr>
          <w:rFonts w:ascii="Arial" w:hAnsi="Arial" w:cs="Arial"/>
          <w:sz w:val="22"/>
          <w:szCs w:val="22"/>
        </w:rPr>
        <w:t>x</w:t>
      </w:r>
      <w:r w:rsidR="00C931F0">
        <w:rPr>
          <w:rFonts w:ascii="Arial" w:hAnsi="Arial" w:cs="Arial"/>
          <w:sz w:val="22"/>
          <w:szCs w:val="22"/>
        </w:rPr>
        <w:t>ylase inhibitor (carbidopa or benserazide, see table 2) that is unable to cross the BBB.</w:t>
      </w:r>
    </w:p>
    <w:p w:rsidR="00841E9C" w:rsidRDefault="00C931F0" w:rsidP="00C61B59">
      <w:pPr>
        <w:pStyle w:val="text"/>
        <w:spacing w:before="0" w:beforeAutospacing="0" w:after="0" w:afterAutospacing="0" w:line="276" w:lineRule="auto"/>
        <w:jc w:val="both"/>
        <w:rPr>
          <w:rFonts w:ascii="Arial" w:hAnsi="Arial" w:cs="Arial"/>
          <w:sz w:val="22"/>
          <w:szCs w:val="22"/>
        </w:rPr>
      </w:pPr>
      <w:r>
        <w:rPr>
          <w:rFonts w:ascii="Arial" w:hAnsi="Arial" w:cs="Arial"/>
          <w:sz w:val="22"/>
          <w:szCs w:val="22"/>
        </w:rPr>
        <w:t>Levodopa shows greater efficacy than any of the othe</w:t>
      </w:r>
      <w:r w:rsidR="0071420D">
        <w:rPr>
          <w:rFonts w:ascii="Arial" w:hAnsi="Arial" w:cs="Arial"/>
          <w:sz w:val="22"/>
          <w:szCs w:val="22"/>
        </w:rPr>
        <w:t xml:space="preserve">r medications available for </w:t>
      </w:r>
      <w:r>
        <w:rPr>
          <w:rFonts w:ascii="Arial" w:hAnsi="Arial" w:cs="Arial"/>
          <w:sz w:val="22"/>
          <w:szCs w:val="22"/>
        </w:rPr>
        <w:t>treat</w:t>
      </w:r>
      <w:r w:rsidR="00941B66">
        <w:rPr>
          <w:rFonts w:ascii="Arial" w:hAnsi="Arial" w:cs="Arial"/>
          <w:sz w:val="22"/>
          <w:szCs w:val="22"/>
        </w:rPr>
        <w:t xml:space="preserve">ing the motor symptoms of </w:t>
      </w:r>
      <w:r>
        <w:rPr>
          <w:rFonts w:ascii="Arial" w:hAnsi="Arial" w:cs="Arial"/>
          <w:sz w:val="22"/>
          <w:szCs w:val="22"/>
        </w:rPr>
        <w:t>PD but it does not slow the progression of the disease and long-term use is associated with troublesome consequences such as ‘off’ periods and levodopa-induced dyskinesias (LIDs).</w:t>
      </w:r>
    </w:p>
    <w:p w:rsidR="00F164DA" w:rsidRDefault="00F164DA" w:rsidP="00C61B59">
      <w:pPr>
        <w:pStyle w:val="text"/>
        <w:spacing w:before="0" w:beforeAutospacing="0" w:after="0" w:afterAutospacing="0" w:line="276" w:lineRule="auto"/>
        <w:jc w:val="both"/>
        <w:rPr>
          <w:rFonts w:ascii="Arial" w:hAnsi="Arial" w:cs="Arial"/>
          <w:sz w:val="22"/>
          <w:szCs w:val="22"/>
        </w:rPr>
      </w:pPr>
      <w:r>
        <w:rPr>
          <w:rFonts w:ascii="Arial" w:hAnsi="Arial" w:cs="Arial"/>
          <w:sz w:val="22"/>
          <w:szCs w:val="22"/>
        </w:rPr>
        <w:t>To reduce the emergence of ‘off’ periods sustained-release preparations of levodopa are available and supplementation with the COMT inhibitors</w:t>
      </w:r>
      <w:r w:rsidR="0071420D">
        <w:rPr>
          <w:rFonts w:ascii="Arial" w:hAnsi="Arial" w:cs="Arial"/>
          <w:sz w:val="22"/>
          <w:szCs w:val="22"/>
        </w:rPr>
        <w:t xml:space="preserve"> (see table 2)</w:t>
      </w:r>
      <w:r>
        <w:rPr>
          <w:rFonts w:ascii="Arial" w:hAnsi="Arial" w:cs="Arial"/>
          <w:sz w:val="22"/>
          <w:szCs w:val="22"/>
        </w:rPr>
        <w:t xml:space="preserve"> are effective at reducing both ‘off’ periods and LIDs. </w:t>
      </w:r>
    </w:p>
    <w:p w:rsidR="00C931F0" w:rsidRDefault="00841E9C" w:rsidP="00841E9C">
      <w:pPr>
        <w:pStyle w:val="Heading4"/>
      </w:pPr>
      <w:r>
        <w:t>DA receptor stimulation</w:t>
      </w:r>
    </w:p>
    <w:p w:rsidR="00A37BAE" w:rsidRDefault="00841E9C" w:rsidP="00841E9C">
      <w:pPr>
        <w:rPr>
          <w:lang w:val="en-US"/>
        </w:rPr>
      </w:pPr>
      <w:r>
        <w:rPr>
          <w:lang w:val="en-US"/>
        </w:rPr>
        <w:lastRenderedPageBreak/>
        <w:t>There are a number of dopamine D</w:t>
      </w:r>
      <w:r>
        <w:rPr>
          <w:vertAlign w:val="subscript"/>
          <w:lang w:val="en-US"/>
        </w:rPr>
        <w:t>2</w:t>
      </w:r>
      <w:r>
        <w:rPr>
          <w:lang w:val="en-US"/>
        </w:rPr>
        <w:t xml:space="preserve"> receptor agonists licensed for the treatment of PD (see table 2). They generally fall into two categories: the ergot derivatives and the non-ergot derivatives. The former are now rarely used in PD because they are associated with dangerous cardiopulmonary fibrotic reactions. </w:t>
      </w:r>
    </w:p>
    <w:p w:rsidR="00841E9C" w:rsidRPr="00841E9C" w:rsidRDefault="00A37BAE" w:rsidP="00841E9C">
      <w:pPr>
        <w:rPr>
          <w:lang w:val="en-US"/>
        </w:rPr>
      </w:pPr>
      <w:r>
        <w:rPr>
          <w:lang w:val="en-US"/>
        </w:rPr>
        <w:t>The newer non-ergot derivatives have demonstrated inferior clinical efficacy when compared to levodopa but reduce dopaminergic neuron loss and delay the onset of motor complications. They are also available in sustained-release formulations (pramipexole &amp; ropinirole) and as a patch (rotigotone).</w:t>
      </w:r>
      <w:r w:rsidR="00841E9C">
        <w:rPr>
          <w:lang w:val="en-US"/>
        </w:rPr>
        <w:t xml:space="preserve"> </w:t>
      </w:r>
    </w:p>
    <w:p w:rsidR="00C61B59" w:rsidRPr="0013698C" w:rsidRDefault="00C61B59" w:rsidP="00C61B59">
      <w:pPr>
        <w:pStyle w:val="text"/>
        <w:spacing w:before="0" w:beforeAutospacing="0" w:after="0" w:afterAutospacing="0" w:line="276" w:lineRule="auto"/>
        <w:jc w:val="both"/>
        <w:rPr>
          <w:rFonts w:ascii="Arial" w:hAnsi="Arial" w:cs="Arial"/>
          <w:sz w:val="22"/>
          <w:szCs w:val="22"/>
        </w:rPr>
      </w:pPr>
    </w:p>
    <w:p w:rsidR="00977D9A" w:rsidRPr="00F63039" w:rsidRDefault="0013698C" w:rsidP="0013698C">
      <w:pPr>
        <w:spacing w:after="120"/>
        <w:rPr>
          <w:rFonts w:cs="Arial"/>
        </w:rPr>
      </w:pPr>
      <w:r>
        <w:rPr>
          <w:b/>
        </w:rPr>
        <w:t>Table 2: Drugs licensed in the UK for the treatment of Parkinson’s disease</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166"/>
        <w:gridCol w:w="6269"/>
      </w:tblGrid>
      <w:tr w:rsidR="00DA0C67" w:rsidRPr="00E54898" w:rsidTr="00DA0C67">
        <w:trPr>
          <w:trHeight w:val="545"/>
        </w:trPr>
        <w:tc>
          <w:tcPr>
            <w:tcW w:w="1770" w:type="dxa"/>
            <w:shd w:val="clear" w:color="auto" w:fill="D9D9D9" w:themeFill="background1" w:themeFillShade="D9"/>
            <w:vAlign w:val="center"/>
          </w:tcPr>
          <w:p w:rsidR="00DA0C67" w:rsidRPr="00DA0C67" w:rsidRDefault="00DA0C67" w:rsidP="00DA0C67">
            <w:pPr>
              <w:spacing w:after="0" w:line="240" w:lineRule="auto"/>
              <w:jc w:val="left"/>
              <w:rPr>
                <w:rFonts w:cs="Arial"/>
                <w:b/>
                <w:sz w:val="24"/>
                <w:szCs w:val="24"/>
              </w:rPr>
            </w:pPr>
            <w:r>
              <w:rPr>
                <w:rFonts w:cs="Arial"/>
                <w:b/>
                <w:sz w:val="24"/>
                <w:szCs w:val="24"/>
              </w:rPr>
              <w:t>Category</w:t>
            </w:r>
          </w:p>
        </w:tc>
        <w:tc>
          <w:tcPr>
            <w:tcW w:w="2166" w:type="dxa"/>
            <w:shd w:val="clear" w:color="auto" w:fill="D9D9D9" w:themeFill="background1" w:themeFillShade="D9"/>
            <w:vAlign w:val="center"/>
          </w:tcPr>
          <w:p w:rsidR="00DA0C67" w:rsidRPr="00DA0C67" w:rsidRDefault="00EB277E" w:rsidP="00DA0C67">
            <w:pPr>
              <w:spacing w:after="0" w:line="240" w:lineRule="auto"/>
              <w:jc w:val="left"/>
              <w:rPr>
                <w:rFonts w:cs="Arial"/>
                <w:b/>
                <w:sz w:val="24"/>
                <w:szCs w:val="24"/>
              </w:rPr>
            </w:pPr>
            <w:r>
              <w:rPr>
                <w:rFonts w:cs="Arial"/>
                <w:b/>
                <w:sz w:val="24"/>
                <w:szCs w:val="24"/>
              </w:rPr>
              <w:t>Licensed drugs</w:t>
            </w:r>
          </w:p>
        </w:tc>
        <w:tc>
          <w:tcPr>
            <w:tcW w:w="6269" w:type="dxa"/>
            <w:shd w:val="clear" w:color="auto" w:fill="D9D9D9" w:themeFill="background1" w:themeFillShade="D9"/>
            <w:vAlign w:val="center"/>
          </w:tcPr>
          <w:p w:rsidR="00DA0C67" w:rsidRPr="00DA0C67" w:rsidRDefault="00EB277E" w:rsidP="00EB277E">
            <w:pPr>
              <w:spacing w:after="0" w:line="240" w:lineRule="auto"/>
              <w:jc w:val="left"/>
              <w:rPr>
                <w:rFonts w:cs="Arial"/>
                <w:b/>
                <w:sz w:val="24"/>
                <w:szCs w:val="24"/>
              </w:rPr>
            </w:pPr>
            <w:r>
              <w:rPr>
                <w:rFonts w:cs="Arial"/>
                <w:b/>
                <w:sz w:val="24"/>
                <w:szCs w:val="24"/>
              </w:rPr>
              <w:t>Additional information</w:t>
            </w:r>
          </w:p>
        </w:tc>
      </w:tr>
      <w:tr w:rsidR="00040279" w:rsidRPr="00E54898" w:rsidTr="00040279">
        <w:trPr>
          <w:trHeight w:val="562"/>
        </w:trPr>
        <w:tc>
          <w:tcPr>
            <w:tcW w:w="1770" w:type="dxa"/>
            <w:shd w:val="clear" w:color="auto" w:fill="auto"/>
          </w:tcPr>
          <w:p w:rsidR="00E04BA0" w:rsidRPr="00B124C4" w:rsidRDefault="00FE2015" w:rsidP="00EB277E">
            <w:pPr>
              <w:spacing w:after="0" w:line="240" w:lineRule="auto"/>
              <w:rPr>
                <w:rFonts w:cs="Arial"/>
                <w:bCs/>
              </w:rPr>
            </w:pPr>
            <w:r>
              <w:rPr>
                <w:rFonts w:cs="Arial"/>
                <w:bCs/>
              </w:rPr>
              <w:t>DA replacement</w:t>
            </w:r>
          </w:p>
        </w:tc>
        <w:tc>
          <w:tcPr>
            <w:tcW w:w="2166" w:type="dxa"/>
            <w:shd w:val="clear" w:color="auto" w:fill="auto"/>
          </w:tcPr>
          <w:p w:rsidR="00E04BA0" w:rsidRPr="00E54898" w:rsidRDefault="00FE2015" w:rsidP="00942379">
            <w:pPr>
              <w:spacing w:after="0" w:line="240" w:lineRule="auto"/>
              <w:rPr>
                <w:rFonts w:cs="Arial"/>
                <w:b/>
              </w:rPr>
            </w:pPr>
            <w:r>
              <w:rPr>
                <w:rFonts w:cs="Arial"/>
                <w:b/>
              </w:rPr>
              <w:t>L-DOPA (levodopa)</w:t>
            </w:r>
          </w:p>
        </w:tc>
        <w:tc>
          <w:tcPr>
            <w:tcW w:w="6269" w:type="dxa"/>
            <w:shd w:val="clear" w:color="auto" w:fill="auto"/>
          </w:tcPr>
          <w:p w:rsidR="00A50148" w:rsidRPr="00A50148" w:rsidRDefault="00A50148" w:rsidP="00A50148">
            <w:pPr>
              <w:pStyle w:val="ListParagraph"/>
              <w:numPr>
                <w:ilvl w:val="0"/>
                <w:numId w:val="30"/>
              </w:numPr>
              <w:spacing w:after="0" w:line="240" w:lineRule="auto"/>
              <w:ind w:left="459" w:hanging="284"/>
              <w:jc w:val="left"/>
              <w:rPr>
                <w:rFonts w:cs="Arial"/>
              </w:rPr>
            </w:pPr>
            <w:r w:rsidRPr="00A50148">
              <w:rPr>
                <w:rFonts w:cs="Arial"/>
              </w:rPr>
              <w:t>Able to cross the BBB</w:t>
            </w:r>
          </w:p>
          <w:p w:rsidR="00A50148" w:rsidRPr="00A50148" w:rsidRDefault="00A50148" w:rsidP="00A50148">
            <w:pPr>
              <w:pStyle w:val="ListParagraph"/>
              <w:numPr>
                <w:ilvl w:val="0"/>
                <w:numId w:val="30"/>
              </w:numPr>
              <w:spacing w:after="0" w:line="240" w:lineRule="auto"/>
              <w:ind w:left="459" w:hanging="284"/>
              <w:jc w:val="left"/>
              <w:rPr>
                <w:rFonts w:cs="Arial"/>
              </w:rPr>
            </w:pPr>
            <w:r w:rsidRPr="00A50148">
              <w:rPr>
                <w:rFonts w:cs="Arial"/>
              </w:rPr>
              <w:t>Is converted to DA in the periphery</w:t>
            </w:r>
          </w:p>
          <w:p w:rsidR="00A50148" w:rsidRPr="00A50148" w:rsidRDefault="00A50148" w:rsidP="00A50148">
            <w:pPr>
              <w:pStyle w:val="ListParagraph"/>
              <w:numPr>
                <w:ilvl w:val="0"/>
                <w:numId w:val="30"/>
              </w:numPr>
              <w:spacing w:after="0" w:line="240" w:lineRule="auto"/>
              <w:ind w:left="459" w:hanging="284"/>
              <w:jc w:val="left"/>
              <w:rPr>
                <w:rFonts w:cs="Arial"/>
              </w:rPr>
            </w:pPr>
            <w:r w:rsidRPr="00A50148">
              <w:rPr>
                <w:rFonts w:cs="Arial"/>
              </w:rPr>
              <w:t>Good efficacy against motor symptoms</w:t>
            </w:r>
          </w:p>
          <w:p w:rsidR="00E04BA0" w:rsidRPr="00A50148" w:rsidRDefault="00A50148" w:rsidP="00EB277E">
            <w:pPr>
              <w:pStyle w:val="ListParagraph"/>
              <w:numPr>
                <w:ilvl w:val="0"/>
                <w:numId w:val="30"/>
              </w:numPr>
              <w:spacing w:after="0" w:line="240" w:lineRule="auto"/>
              <w:ind w:left="459" w:hanging="284"/>
              <w:jc w:val="left"/>
              <w:rPr>
                <w:rFonts w:cs="Arial"/>
              </w:rPr>
            </w:pPr>
            <w:r w:rsidRPr="00A50148">
              <w:rPr>
                <w:rFonts w:cs="Arial"/>
              </w:rPr>
              <w:t xml:space="preserve">Can cause </w:t>
            </w:r>
            <w:r w:rsidR="00EB277E">
              <w:rPr>
                <w:rFonts w:cs="Arial"/>
              </w:rPr>
              <w:t>LIDs</w:t>
            </w:r>
            <w:r w:rsidR="00841E9C">
              <w:rPr>
                <w:rFonts w:cs="Arial"/>
              </w:rPr>
              <w:t xml:space="preserve"> and ‘</w:t>
            </w:r>
            <w:r w:rsidRPr="00A50148">
              <w:rPr>
                <w:rFonts w:cs="Arial"/>
              </w:rPr>
              <w:t>off’ sym</w:t>
            </w:r>
            <w:r>
              <w:rPr>
                <w:rFonts w:cs="Arial"/>
              </w:rPr>
              <w:t>p</w:t>
            </w:r>
            <w:r w:rsidRPr="00A50148">
              <w:rPr>
                <w:rFonts w:cs="Arial"/>
              </w:rPr>
              <w:t>toms</w:t>
            </w:r>
          </w:p>
        </w:tc>
      </w:tr>
      <w:tr w:rsidR="00040279" w:rsidRPr="00E54898" w:rsidTr="00A50148">
        <w:trPr>
          <w:trHeight w:val="1104"/>
        </w:trPr>
        <w:tc>
          <w:tcPr>
            <w:tcW w:w="1770" w:type="dxa"/>
            <w:vMerge w:val="restart"/>
            <w:shd w:val="clear" w:color="auto" w:fill="auto"/>
          </w:tcPr>
          <w:p w:rsidR="00040279" w:rsidRPr="00B124C4" w:rsidRDefault="00040279" w:rsidP="00FE2015">
            <w:pPr>
              <w:spacing w:after="0" w:line="240" w:lineRule="auto"/>
              <w:jc w:val="left"/>
              <w:rPr>
                <w:rFonts w:cs="Arial"/>
                <w:bCs/>
              </w:rPr>
            </w:pPr>
            <w:r>
              <w:rPr>
                <w:rFonts w:cs="Arial"/>
                <w:bCs/>
              </w:rPr>
              <w:t>DA receptor stimulation</w:t>
            </w:r>
          </w:p>
        </w:tc>
        <w:tc>
          <w:tcPr>
            <w:tcW w:w="2166" w:type="dxa"/>
            <w:shd w:val="clear" w:color="auto" w:fill="auto"/>
          </w:tcPr>
          <w:p w:rsidR="00040279" w:rsidRDefault="00040279" w:rsidP="00040279">
            <w:pPr>
              <w:spacing w:after="0" w:line="240" w:lineRule="auto"/>
              <w:rPr>
                <w:rFonts w:cs="Arial"/>
                <w:b/>
              </w:rPr>
            </w:pPr>
            <w:r>
              <w:rPr>
                <w:rFonts w:cs="Arial"/>
                <w:b/>
              </w:rPr>
              <w:t>Ergot derivative</w:t>
            </w:r>
          </w:p>
          <w:p w:rsidR="00040279" w:rsidRPr="00040279" w:rsidRDefault="00040279" w:rsidP="00040279">
            <w:pPr>
              <w:spacing w:after="0" w:line="240" w:lineRule="auto"/>
              <w:rPr>
                <w:rFonts w:cs="Arial"/>
              </w:rPr>
            </w:pPr>
            <w:r w:rsidRPr="00040279">
              <w:rPr>
                <w:rFonts w:cs="Arial"/>
              </w:rPr>
              <w:t>Bromocriptine</w:t>
            </w:r>
          </w:p>
          <w:p w:rsidR="00040279" w:rsidRPr="00040279" w:rsidRDefault="00040279" w:rsidP="00040279">
            <w:pPr>
              <w:spacing w:after="0" w:line="240" w:lineRule="auto"/>
              <w:rPr>
                <w:rFonts w:cs="Arial"/>
              </w:rPr>
            </w:pPr>
            <w:r w:rsidRPr="00040279">
              <w:rPr>
                <w:rFonts w:cs="Arial"/>
              </w:rPr>
              <w:t>Cabergoline</w:t>
            </w:r>
          </w:p>
          <w:p w:rsidR="00040279" w:rsidRPr="00E54898" w:rsidRDefault="00040279" w:rsidP="00A50148">
            <w:pPr>
              <w:spacing w:after="0" w:line="240" w:lineRule="auto"/>
              <w:rPr>
                <w:rFonts w:cs="Arial"/>
                <w:b/>
              </w:rPr>
            </w:pPr>
            <w:r w:rsidRPr="00040279">
              <w:rPr>
                <w:rFonts w:cs="Arial"/>
              </w:rPr>
              <w:t>Pergolide</w:t>
            </w:r>
          </w:p>
        </w:tc>
        <w:tc>
          <w:tcPr>
            <w:tcW w:w="6269" w:type="dxa"/>
            <w:shd w:val="clear" w:color="auto" w:fill="auto"/>
          </w:tcPr>
          <w:p w:rsidR="00A50148" w:rsidRPr="00A50148" w:rsidRDefault="00A50148" w:rsidP="00A50148">
            <w:pPr>
              <w:pStyle w:val="ListParagraph"/>
              <w:numPr>
                <w:ilvl w:val="0"/>
                <w:numId w:val="30"/>
              </w:numPr>
              <w:spacing w:after="0" w:line="240" w:lineRule="auto"/>
              <w:ind w:left="459" w:hanging="284"/>
              <w:jc w:val="left"/>
              <w:rPr>
                <w:rFonts w:cs="Arial"/>
              </w:rPr>
            </w:pPr>
            <w:r>
              <w:rPr>
                <w:rFonts w:cs="Arial"/>
              </w:rPr>
              <w:t>Potent D</w:t>
            </w:r>
            <w:r w:rsidRPr="00EB277E">
              <w:rPr>
                <w:rFonts w:cs="Arial"/>
                <w:vertAlign w:val="subscript"/>
              </w:rPr>
              <w:t>2</w:t>
            </w:r>
            <w:r>
              <w:rPr>
                <w:rFonts w:cs="Arial"/>
              </w:rPr>
              <w:t xml:space="preserve"> receptor agonists</w:t>
            </w:r>
          </w:p>
          <w:p w:rsidR="00040279" w:rsidRDefault="00A50148" w:rsidP="00A50148">
            <w:pPr>
              <w:pStyle w:val="ListParagraph"/>
              <w:numPr>
                <w:ilvl w:val="0"/>
                <w:numId w:val="30"/>
              </w:numPr>
              <w:spacing w:after="0" w:line="240" w:lineRule="auto"/>
              <w:ind w:left="459" w:hanging="284"/>
              <w:jc w:val="left"/>
              <w:rPr>
                <w:rFonts w:cs="Arial"/>
              </w:rPr>
            </w:pPr>
            <w:r>
              <w:rPr>
                <w:rFonts w:cs="Arial"/>
              </w:rPr>
              <w:t>Associated with dangerous fibrotic reactions</w:t>
            </w:r>
          </w:p>
          <w:p w:rsidR="00A50148" w:rsidRPr="00E54898" w:rsidRDefault="00A50148" w:rsidP="00A50148">
            <w:pPr>
              <w:pStyle w:val="ListParagraph"/>
              <w:numPr>
                <w:ilvl w:val="0"/>
                <w:numId w:val="30"/>
              </w:numPr>
              <w:spacing w:after="0" w:line="240" w:lineRule="auto"/>
              <w:ind w:left="459" w:hanging="284"/>
              <w:jc w:val="left"/>
              <w:rPr>
                <w:rFonts w:cs="Arial"/>
              </w:rPr>
            </w:pPr>
            <w:r>
              <w:rPr>
                <w:rFonts w:cs="Arial"/>
              </w:rPr>
              <w:t>Now rarely used</w:t>
            </w:r>
          </w:p>
        </w:tc>
      </w:tr>
      <w:tr w:rsidR="00040279" w:rsidRPr="00E54898" w:rsidTr="00040279">
        <w:trPr>
          <w:trHeight w:val="1350"/>
        </w:trPr>
        <w:tc>
          <w:tcPr>
            <w:tcW w:w="1770" w:type="dxa"/>
            <w:vMerge/>
            <w:shd w:val="clear" w:color="auto" w:fill="auto"/>
          </w:tcPr>
          <w:p w:rsidR="00040279" w:rsidRDefault="00040279" w:rsidP="00FE2015">
            <w:pPr>
              <w:spacing w:after="0" w:line="240" w:lineRule="auto"/>
              <w:jc w:val="left"/>
              <w:rPr>
                <w:rFonts w:cs="Arial"/>
                <w:bCs/>
              </w:rPr>
            </w:pPr>
          </w:p>
        </w:tc>
        <w:tc>
          <w:tcPr>
            <w:tcW w:w="2166" w:type="dxa"/>
            <w:shd w:val="clear" w:color="auto" w:fill="auto"/>
          </w:tcPr>
          <w:p w:rsidR="00040279" w:rsidRDefault="00040279" w:rsidP="00040279">
            <w:pPr>
              <w:spacing w:after="0" w:line="240" w:lineRule="auto"/>
              <w:rPr>
                <w:rFonts w:cs="Arial"/>
                <w:b/>
              </w:rPr>
            </w:pPr>
            <w:r>
              <w:rPr>
                <w:rFonts w:cs="Arial"/>
                <w:b/>
              </w:rPr>
              <w:t>Non-Ergot</w:t>
            </w:r>
          </w:p>
          <w:p w:rsidR="00DA0C67" w:rsidRDefault="00DA0C67" w:rsidP="00040279">
            <w:pPr>
              <w:spacing w:after="0" w:line="240" w:lineRule="auto"/>
              <w:rPr>
                <w:rFonts w:cs="Arial"/>
              </w:rPr>
            </w:pPr>
            <w:r>
              <w:rPr>
                <w:rFonts w:cs="Arial"/>
              </w:rPr>
              <w:t>Amantadine</w:t>
            </w:r>
          </w:p>
          <w:p w:rsidR="00040279" w:rsidRPr="00040279" w:rsidRDefault="00040279" w:rsidP="00040279">
            <w:pPr>
              <w:spacing w:after="0" w:line="240" w:lineRule="auto"/>
              <w:rPr>
                <w:rFonts w:cs="Arial"/>
              </w:rPr>
            </w:pPr>
            <w:r w:rsidRPr="00040279">
              <w:rPr>
                <w:rFonts w:cs="Arial"/>
              </w:rPr>
              <w:t>Apomorphine Pramipexole</w:t>
            </w:r>
          </w:p>
          <w:p w:rsidR="00040279" w:rsidRPr="00040279" w:rsidRDefault="00040279" w:rsidP="00040279">
            <w:pPr>
              <w:spacing w:after="0" w:line="240" w:lineRule="auto"/>
              <w:rPr>
                <w:rFonts w:cs="Arial"/>
              </w:rPr>
            </w:pPr>
            <w:r w:rsidRPr="00040279">
              <w:rPr>
                <w:rFonts w:cs="Arial"/>
              </w:rPr>
              <w:t>Ropinirole</w:t>
            </w:r>
          </w:p>
          <w:p w:rsidR="00040279" w:rsidRPr="00040279" w:rsidRDefault="00040279" w:rsidP="00040279">
            <w:pPr>
              <w:spacing w:after="0" w:line="240" w:lineRule="auto"/>
              <w:rPr>
                <w:rFonts w:cs="Arial"/>
                <w:b/>
              </w:rPr>
            </w:pPr>
            <w:r w:rsidRPr="00040279">
              <w:rPr>
                <w:rFonts w:cs="Arial"/>
              </w:rPr>
              <w:t>Rotigotone</w:t>
            </w:r>
          </w:p>
        </w:tc>
        <w:tc>
          <w:tcPr>
            <w:tcW w:w="6269" w:type="dxa"/>
            <w:shd w:val="clear" w:color="auto" w:fill="auto"/>
          </w:tcPr>
          <w:p w:rsidR="00DA0C67" w:rsidRDefault="00DA0C67" w:rsidP="00A50148">
            <w:pPr>
              <w:pStyle w:val="ListParagraph"/>
              <w:numPr>
                <w:ilvl w:val="0"/>
                <w:numId w:val="30"/>
              </w:numPr>
              <w:spacing w:after="0" w:line="240" w:lineRule="auto"/>
              <w:ind w:left="459" w:hanging="284"/>
              <w:jc w:val="left"/>
              <w:rPr>
                <w:rFonts w:cs="Arial"/>
              </w:rPr>
            </w:pPr>
            <w:r>
              <w:rPr>
                <w:rFonts w:cs="Arial"/>
              </w:rPr>
              <w:t>Amantadine is a weak DA receptor agonist &amp; NMDA receptor antagonist</w:t>
            </w:r>
          </w:p>
          <w:p w:rsidR="00A50148" w:rsidRDefault="00A50148" w:rsidP="00A50148">
            <w:pPr>
              <w:pStyle w:val="ListParagraph"/>
              <w:numPr>
                <w:ilvl w:val="0"/>
                <w:numId w:val="30"/>
              </w:numPr>
              <w:spacing w:after="0" w:line="240" w:lineRule="auto"/>
              <w:ind w:left="459" w:hanging="284"/>
              <w:jc w:val="left"/>
              <w:rPr>
                <w:rFonts w:cs="Arial"/>
              </w:rPr>
            </w:pPr>
            <w:r>
              <w:rPr>
                <w:rFonts w:cs="Arial"/>
              </w:rPr>
              <w:t>Apomorphine is only given under specialist supervision</w:t>
            </w:r>
          </w:p>
          <w:p w:rsidR="00A50148" w:rsidRPr="00A50148" w:rsidRDefault="00A50148" w:rsidP="00DA0C67">
            <w:pPr>
              <w:pStyle w:val="ListParagraph"/>
              <w:numPr>
                <w:ilvl w:val="0"/>
                <w:numId w:val="30"/>
              </w:numPr>
              <w:spacing w:after="0" w:line="240" w:lineRule="auto"/>
              <w:ind w:left="460" w:hanging="284"/>
              <w:jc w:val="left"/>
              <w:rPr>
                <w:rFonts w:cs="Arial"/>
              </w:rPr>
            </w:pPr>
            <w:r>
              <w:rPr>
                <w:rFonts w:cs="Arial"/>
              </w:rPr>
              <w:t>Pramipexole &amp;</w:t>
            </w:r>
            <w:r w:rsidRPr="00A50148">
              <w:rPr>
                <w:rFonts w:cs="Arial"/>
              </w:rPr>
              <w:t xml:space="preserve"> </w:t>
            </w:r>
            <w:r>
              <w:rPr>
                <w:rFonts w:cs="Arial"/>
              </w:rPr>
              <w:t>r</w:t>
            </w:r>
            <w:r w:rsidRPr="00A50148">
              <w:rPr>
                <w:rFonts w:cs="Arial"/>
              </w:rPr>
              <w:t>opinirole</w:t>
            </w:r>
            <w:r>
              <w:rPr>
                <w:rFonts w:cs="Arial"/>
              </w:rPr>
              <w:t xml:space="preserve"> are also available as</w:t>
            </w:r>
            <w:r w:rsidRPr="00A50148">
              <w:rPr>
                <w:rFonts w:cs="Arial"/>
              </w:rPr>
              <w:t xml:space="preserve"> extended-release formulation</w:t>
            </w:r>
            <w:r>
              <w:rPr>
                <w:rFonts w:cs="Arial"/>
              </w:rPr>
              <w:t>s</w:t>
            </w:r>
          </w:p>
          <w:p w:rsidR="00040279" w:rsidRPr="00E54898" w:rsidRDefault="00A50148" w:rsidP="00DA0C67">
            <w:pPr>
              <w:pStyle w:val="ListParagraph"/>
              <w:numPr>
                <w:ilvl w:val="0"/>
                <w:numId w:val="30"/>
              </w:numPr>
              <w:spacing w:after="0" w:line="240" w:lineRule="auto"/>
              <w:ind w:left="459" w:hanging="284"/>
              <w:jc w:val="left"/>
              <w:rPr>
                <w:rFonts w:cs="Arial"/>
              </w:rPr>
            </w:pPr>
            <w:r w:rsidRPr="00A50148">
              <w:rPr>
                <w:rFonts w:cs="Arial"/>
              </w:rPr>
              <w:t xml:space="preserve">Rotigotine </w:t>
            </w:r>
            <w:r w:rsidR="008A1BD5">
              <w:rPr>
                <w:rFonts w:cs="Arial"/>
              </w:rPr>
              <w:t xml:space="preserve">is </w:t>
            </w:r>
            <w:r w:rsidRPr="00A50148">
              <w:rPr>
                <w:rFonts w:cs="Arial"/>
              </w:rPr>
              <w:t>also available as a patch</w:t>
            </w:r>
          </w:p>
        </w:tc>
      </w:tr>
      <w:tr w:rsidR="00040279" w:rsidRPr="00E54898" w:rsidTr="00040279">
        <w:trPr>
          <w:trHeight w:val="563"/>
        </w:trPr>
        <w:tc>
          <w:tcPr>
            <w:tcW w:w="1770" w:type="dxa"/>
            <w:shd w:val="clear" w:color="auto" w:fill="auto"/>
          </w:tcPr>
          <w:p w:rsidR="00E04BA0" w:rsidRPr="00B124C4" w:rsidRDefault="00FE2015" w:rsidP="00942379">
            <w:pPr>
              <w:spacing w:after="0" w:line="240" w:lineRule="auto"/>
              <w:jc w:val="left"/>
              <w:rPr>
                <w:rFonts w:cs="Arial"/>
                <w:bCs/>
              </w:rPr>
            </w:pPr>
            <w:r>
              <w:rPr>
                <w:rFonts w:cs="Arial"/>
                <w:bCs/>
              </w:rPr>
              <w:t>Inhibition of DA metabolism</w:t>
            </w:r>
          </w:p>
        </w:tc>
        <w:tc>
          <w:tcPr>
            <w:tcW w:w="2166" w:type="dxa"/>
            <w:shd w:val="clear" w:color="auto" w:fill="auto"/>
          </w:tcPr>
          <w:p w:rsidR="00040279" w:rsidRDefault="00040279" w:rsidP="00942379">
            <w:pPr>
              <w:spacing w:after="0" w:line="240" w:lineRule="auto"/>
              <w:rPr>
                <w:rFonts w:cs="Arial"/>
                <w:b/>
              </w:rPr>
            </w:pPr>
            <w:r>
              <w:rPr>
                <w:rFonts w:cs="Arial"/>
                <w:b/>
              </w:rPr>
              <w:t>MAO</w:t>
            </w:r>
            <w:r w:rsidRPr="00040279">
              <w:rPr>
                <w:rFonts w:cs="Arial"/>
                <w:b/>
                <w:vertAlign w:val="subscript"/>
              </w:rPr>
              <w:t>B</w:t>
            </w:r>
            <w:r>
              <w:rPr>
                <w:rFonts w:cs="Arial"/>
                <w:b/>
              </w:rPr>
              <w:t xml:space="preserve"> inhibitors</w:t>
            </w:r>
          </w:p>
          <w:p w:rsidR="00E04BA0" w:rsidRPr="00040279" w:rsidRDefault="00FE2015" w:rsidP="00942379">
            <w:pPr>
              <w:spacing w:after="0" w:line="240" w:lineRule="auto"/>
              <w:rPr>
                <w:rFonts w:cs="Arial"/>
              </w:rPr>
            </w:pPr>
            <w:r w:rsidRPr="00040279">
              <w:rPr>
                <w:rFonts w:cs="Arial"/>
              </w:rPr>
              <w:t>Rasagiline</w:t>
            </w:r>
          </w:p>
          <w:p w:rsidR="00E04BA0" w:rsidRPr="00E54898" w:rsidRDefault="00040279" w:rsidP="00A50148">
            <w:pPr>
              <w:spacing w:after="0" w:line="240" w:lineRule="auto"/>
              <w:rPr>
                <w:rFonts w:cs="Arial"/>
                <w:b/>
              </w:rPr>
            </w:pPr>
            <w:r w:rsidRPr="00040279">
              <w:rPr>
                <w:rFonts w:cs="Arial"/>
              </w:rPr>
              <w:t>Selegiline</w:t>
            </w:r>
          </w:p>
        </w:tc>
        <w:tc>
          <w:tcPr>
            <w:tcW w:w="6269" w:type="dxa"/>
            <w:shd w:val="clear" w:color="auto" w:fill="auto"/>
          </w:tcPr>
          <w:p w:rsidR="00A50148" w:rsidRPr="00A50148" w:rsidRDefault="00A50148" w:rsidP="00A50148">
            <w:pPr>
              <w:pStyle w:val="ListParagraph"/>
              <w:numPr>
                <w:ilvl w:val="0"/>
                <w:numId w:val="31"/>
              </w:numPr>
              <w:spacing w:after="0" w:line="240" w:lineRule="auto"/>
              <w:ind w:left="459" w:hanging="284"/>
              <w:jc w:val="left"/>
              <w:rPr>
                <w:rFonts w:cs="Arial"/>
              </w:rPr>
            </w:pPr>
            <w:r w:rsidRPr="00A50148">
              <w:rPr>
                <w:rFonts w:cs="Arial"/>
              </w:rPr>
              <w:t>Rasagiline is significantly more potent than selegiline</w:t>
            </w:r>
          </w:p>
          <w:p w:rsidR="00E04BA0" w:rsidRDefault="00A50148" w:rsidP="00A50148">
            <w:pPr>
              <w:pStyle w:val="ListParagraph"/>
              <w:numPr>
                <w:ilvl w:val="0"/>
                <w:numId w:val="31"/>
              </w:numPr>
              <w:spacing w:after="0" w:line="240" w:lineRule="auto"/>
              <w:ind w:left="459" w:hanging="284"/>
              <w:jc w:val="left"/>
              <w:rPr>
                <w:rFonts w:cs="Arial"/>
              </w:rPr>
            </w:pPr>
            <w:r w:rsidRPr="00A50148">
              <w:rPr>
                <w:rFonts w:cs="Arial"/>
              </w:rPr>
              <w:t>Both may have disease-modifying properties</w:t>
            </w:r>
          </w:p>
          <w:p w:rsidR="00EB277E" w:rsidRPr="00E54898" w:rsidRDefault="00EB277E" w:rsidP="00A50148">
            <w:pPr>
              <w:pStyle w:val="ListParagraph"/>
              <w:numPr>
                <w:ilvl w:val="0"/>
                <w:numId w:val="31"/>
              </w:numPr>
              <w:spacing w:after="0" w:line="240" w:lineRule="auto"/>
              <w:ind w:left="459" w:hanging="284"/>
              <w:jc w:val="left"/>
              <w:rPr>
                <w:rFonts w:cs="Arial"/>
              </w:rPr>
            </w:pPr>
            <w:r>
              <w:rPr>
                <w:rFonts w:cs="Arial"/>
              </w:rPr>
              <w:t>Rasagiline is effective at treating LIDs</w:t>
            </w:r>
          </w:p>
        </w:tc>
      </w:tr>
      <w:tr w:rsidR="00040279" w:rsidRPr="00E54898" w:rsidTr="00040279">
        <w:trPr>
          <w:trHeight w:val="383"/>
        </w:trPr>
        <w:tc>
          <w:tcPr>
            <w:tcW w:w="1770" w:type="dxa"/>
            <w:vMerge w:val="restart"/>
            <w:shd w:val="clear" w:color="auto" w:fill="auto"/>
          </w:tcPr>
          <w:p w:rsidR="00040279" w:rsidRDefault="00040279" w:rsidP="00942379">
            <w:pPr>
              <w:spacing w:after="0" w:line="240" w:lineRule="auto"/>
              <w:jc w:val="left"/>
              <w:rPr>
                <w:rFonts w:cs="Arial"/>
                <w:bCs/>
              </w:rPr>
            </w:pPr>
            <w:r>
              <w:rPr>
                <w:rFonts w:cs="Arial"/>
                <w:bCs/>
              </w:rPr>
              <w:t>Adjuncts</w:t>
            </w:r>
          </w:p>
        </w:tc>
        <w:tc>
          <w:tcPr>
            <w:tcW w:w="2166" w:type="dxa"/>
            <w:shd w:val="clear" w:color="auto" w:fill="auto"/>
          </w:tcPr>
          <w:p w:rsidR="00040279" w:rsidRDefault="00040279" w:rsidP="00942379">
            <w:pPr>
              <w:spacing w:after="0" w:line="240" w:lineRule="auto"/>
              <w:rPr>
                <w:rFonts w:cs="Arial"/>
                <w:b/>
              </w:rPr>
            </w:pPr>
            <w:r>
              <w:rPr>
                <w:rFonts w:cs="Arial"/>
                <w:b/>
              </w:rPr>
              <w:t>DD inhibitors</w:t>
            </w:r>
          </w:p>
          <w:p w:rsidR="00040279" w:rsidRPr="00040279" w:rsidRDefault="00040279" w:rsidP="00942379">
            <w:pPr>
              <w:spacing w:after="0" w:line="240" w:lineRule="auto"/>
              <w:rPr>
                <w:rFonts w:cs="Arial"/>
              </w:rPr>
            </w:pPr>
            <w:r w:rsidRPr="00040279">
              <w:rPr>
                <w:rFonts w:cs="Arial"/>
              </w:rPr>
              <w:t>Benserazide</w:t>
            </w:r>
          </w:p>
          <w:p w:rsidR="00040279" w:rsidRDefault="00040279" w:rsidP="00040279">
            <w:pPr>
              <w:spacing w:after="0" w:line="240" w:lineRule="auto"/>
              <w:rPr>
                <w:rFonts w:cs="Arial"/>
                <w:b/>
              </w:rPr>
            </w:pPr>
            <w:r w:rsidRPr="00040279">
              <w:rPr>
                <w:rFonts w:cs="Arial"/>
              </w:rPr>
              <w:t>Carbidopa</w:t>
            </w:r>
          </w:p>
        </w:tc>
        <w:tc>
          <w:tcPr>
            <w:tcW w:w="6269" w:type="dxa"/>
            <w:shd w:val="clear" w:color="auto" w:fill="auto"/>
          </w:tcPr>
          <w:p w:rsidR="00DA0C67" w:rsidRPr="00A50148" w:rsidRDefault="00DA0C67" w:rsidP="00DA0C67">
            <w:pPr>
              <w:pStyle w:val="ListParagraph"/>
              <w:numPr>
                <w:ilvl w:val="0"/>
                <w:numId w:val="31"/>
              </w:numPr>
              <w:spacing w:after="0" w:line="240" w:lineRule="auto"/>
              <w:ind w:left="459" w:hanging="284"/>
              <w:jc w:val="left"/>
              <w:rPr>
                <w:rFonts w:cs="Arial"/>
              </w:rPr>
            </w:pPr>
            <w:r>
              <w:rPr>
                <w:rFonts w:cs="Arial"/>
              </w:rPr>
              <w:t>Co-Beneldopa: Benserazide &amp; L-DOPA</w:t>
            </w:r>
          </w:p>
          <w:p w:rsidR="00040279" w:rsidRDefault="0071420D" w:rsidP="00DA0C67">
            <w:pPr>
              <w:pStyle w:val="ListParagraph"/>
              <w:numPr>
                <w:ilvl w:val="0"/>
                <w:numId w:val="31"/>
              </w:numPr>
              <w:spacing w:after="0" w:line="240" w:lineRule="auto"/>
              <w:ind w:left="459" w:hanging="284"/>
              <w:jc w:val="left"/>
              <w:rPr>
                <w:rFonts w:cs="Arial"/>
              </w:rPr>
            </w:pPr>
            <w:r>
              <w:rPr>
                <w:rFonts w:cs="Arial"/>
              </w:rPr>
              <w:t>Co-Careldopa: Car</w:t>
            </w:r>
            <w:r w:rsidR="00DA0C67">
              <w:rPr>
                <w:rFonts w:cs="Arial"/>
              </w:rPr>
              <w:t>bidopa &amp; L-DOPA</w:t>
            </w:r>
          </w:p>
          <w:p w:rsidR="00DA0C67" w:rsidRPr="00DA0C67" w:rsidRDefault="00DA0C67" w:rsidP="00DA0C67">
            <w:pPr>
              <w:pStyle w:val="ListParagraph"/>
              <w:numPr>
                <w:ilvl w:val="0"/>
                <w:numId w:val="31"/>
              </w:numPr>
              <w:spacing w:after="0" w:line="240" w:lineRule="auto"/>
              <w:ind w:left="459" w:hanging="284"/>
              <w:jc w:val="left"/>
              <w:rPr>
                <w:rFonts w:cs="Arial"/>
              </w:rPr>
            </w:pPr>
            <w:r>
              <w:rPr>
                <w:rFonts w:cs="Arial"/>
              </w:rPr>
              <w:t xml:space="preserve">Both </w:t>
            </w:r>
            <w:r w:rsidR="00844E54">
              <w:rPr>
                <w:rFonts w:cs="Arial"/>
              </w:rPr>
              <w:t xml:space="preserve">are </w:t>
            </w:r>
            <w:r>
              <w:rPr>
                <w:rFonts w:cs="Arial"/>
              </w:rPr>
              <w:t>available as extended release formulations</w:t>
            </w:r>
          </w:p>
        </w:tc>
      </w:tr>
      <w:tr w:rsidR="00040279" w:rsidRPr="00E54898" w:rsidTr="00040279">
        <w:trPr>
          <w:trHeight w:val="382"/>
        </w:trPr>
        <w:tc>
          <w:tcPr>
            <w:tcW w:w="1770" w:type="dxa"/>
            <w:vMerge/>
            <w:shd w:val="clear" w:color="auto" w:fill="auto"/>
          </w:tcPr>
          <w:p w:rsidR="00040279" w:rsidRDefault="00040279" w:rsidP="00942379">
            <w:pPr>
              <w:spacing w:after="0" w:line="240" w:lineRule="auto"/>
              <w:jc w:val="left"/>
              <w:rPr>
                <w:rFonts w:cs="Arial"/>
                <w:bCs/>
              </w:rPr>
            </w:pPr>
          </w:p>
        </w:tc>
        <w:tc>
          <w:tcPr>
            <w:tcW w:w="2166" w:type="dxa"/>
            <w:shd w:val="clear" w:color="auto" w:fill="auto"/>
          </w:tcPr>
          <w:p w:rsidR="00040279" w:rsidRDefault="00040279" w:rsidP="00942379">
            <w:pPr>
              <w:spacing w:after="0" w:line="240" w:lineRule="auto"/>
              <w:rPr>
                <w:rFonts w:cs="Arial"/>
                <w:b/>
              </w:rPr>
            </w:pPr>
            <w:r>
              <w:rPr>
                <w:rFonts w:cs="Arial"/>
                <w:b/>
              </w:rPr>
              <w:t>COMT inhibitors</w:t>
            </w:r>
          </w:p>
          <w:p w:rsidR="00040279" w:rsidRPr="00040279" w:rsidRDefault="00040279" w:rsidP="00942379">
            <w:pPr>
              <w:spacing w:after="0" w:line="240" w:lineRule="auto"/>
              <w:rPr>
                <w:rFonts w:cs="Arial"/>
              </w:rPr>
            </w:pPr>
            <w:r w:rsidRPr="00040279">
              <w:rPr>
                <w:rFonts w:cs="Arial"/>
              </w:rPr>
              <w:t>Entacapone</w:t>
            </w:r>
          </w:p>
          <w:p w:rsidR="00040279" w:rsidRDefault="00040279" w:rsidP="00942379">
            <w:pPr>
              <w:spacing w:after="0" w:line="240" w:lineRule="auto"/>
              <w:rPr>
                <w:rFonts w:cs="Arial"/>
                <w:b/>
              </w:rPr>
            </w:pPr>
            <w:r w:rsidRPr="00040279">
              <w:rPr>
                <w:rFonts w:cs="Arial"/>
              </w:rPr>
              <w:t>Tolcapone</w:t>
            </w:r>
          </w:p>
        </w:tc>
        <w:tc>
          <w:tcPr>
            <w:tcW w:w="6269" w:type="dxa"/>
            <w:shd w:val="clear" w:color="auto" w:fill="auto"/>
          </w:tcPr>
          <w:p w:rsidR="00040279" w:rsidRPr="00EB277E" w:rsidRDefault="00DA0C67" w:rsidP="00DA0C67">
            <w:pPr>
              <w:pStyle w:val="ListParagraph"/>
              <w:numPr>
                <w:ilvl w:val="0"/>
                <w:numId w:val="31"/>
              </w:numPr>
              <w:spacing w:after="0" w:line="240" w:lineRule="auto"/>
              <w:ind w:left="459" w:hanging="284"/>
              <w:rPr>
                <w:rFonts w:cs="Arial"/>
                <w:b/>
              </w:rPr>
            </w:pPr>
            <w:r w:rsidRPr="00DA0C67">
              <w:rPr>
                <w:rFonts w:cs="Arial"/>
              </w:rPr>
              <w:t>Both may have disease-modifying properties</w:t>
            </w:r>
          </w:p>
          <w:p w:rsidR="00EB277E" w:rsidRPr="0071420D" w:rsidRDefault="00EB277E" w:rsidP="00DA0C67">
            <w:pPr>
              <w:pStyle w:val="ListParagraph"/>
              <w:numPr>
                <w:ilvl w:val="0"/>
                <w:numId w:val="31"/>
              </w:numPr>
              <w:spacing w:after="0" w:line="240" w:lineRule="auto"/>
              <w:ind w:left="459" w:hanging="284"/>
              <w:rPr>
                <w:rFonts w:cs="Arial"/>
                <w:b/>
              </w:rPr>
            </w:pPr>
            <w:r>
              <w:rPr>
                <w:rFonts w:cs="Arial"/>
              </w:rPr>
              <w:t>Entacapone is effective in treating LIDs</w:t>
            </w:r>
          </w:p>
          <w:p w:rsidR="0071420D" w:rsidRPr="00DA0C67" w:rsidRDefault="0071420D" w:rsidP="00DA0C67">
            <w:pPr>
              <w:pStyle w:val="ListParagraph"/>
              <w:numPr>
                <w:ilvl w:val="0"/>
                <w:numId w:val="31"/>
              </w:numPr>
              <w:spacing w:after="0" w:line="240" w:lineRule="auto"/>
              <w:ind w:left="459" w:hanging="284"/>
              <w:rPr>
                <w:rFonts w:cs="Arial"/>
                <w:b/>
              </w:rPr>
            </w:pPr>
            <w:r>
              <w:rPr>
                <w:rFonts w:cs="Arial"/>
              </w:rPr>
              <w:t>Tolcapone carries a risk of hepatotoxicity</w:t>
            </w:r>
          </w:p>
        </w:tc>
      </w:tr>
    </w:tbl>
    <w:p w:rsidR="007F7A0D" w:rsidRDefault="007F7A0D">
      <w:pPr>
        <w:spacing w:after="0" w:line="240" w:lineRule="auto"/>
        <w:jc w:val="left"/>
      </w:pPr>
    </w:p>
    <w:p w:rsidR="007F7A0D" w:rsidRDefault="007F7A0D" w:rsidP="007F7A0D">
      <w:pPr>
        <w:pStyle w:val="Heading4"/>
        <w:rPr>
          <w:sz w:val="24"/>
          <w:szCs w:val="24"/>
        </w:rPr>
      </w:pPr>
      <w:r>
        <w:t>Inhibition of DA metabolism</w:t>
      </w:r>
    </w:p>
    <w:p w:rsidR="0013698C" w:rsidRPr="007F7A0D" w:rsidRDefault="007F7A0D" w:rsidP="007F7A0D">
      <w:pPr>
        <w:rPr>
          <w:sz w:val="24"/>
          <w:szCs w:val="24"/>
        </w:rPr>
      </w:pPr>
      <w:r>
        <w:t>Rasagiline and selegiline are selective and irreversible inhibitors of MAO</w:t>
      </w:r>
      <w:r>
        <w:rPr>
          <w:vertAlign w:val="subscript"/>
        </w:rPr>
        <w:t>B</w:t>
      </w:r>
      <w:r>
        <w:t xml:space="preserve"> and are both licensed for the treatment of PD. </w:t>
      </w:r>
      <w:r w:rsidR="00861C11">
        <w:t>The older of the two drugs selegiline (aka deprenyl) has been shown to delay the onset of motor symptoms and</w:t>
      </w:r>
      <w:r w:rsidR="00941B66">
        <w:t xml:space="preserve"> </w:t>
      </w:r>
      <w:r w:rsidR="00861C11">
        <w:t>is associated with a better long-term outcome than levodopa. In addition to MAO</w:t>
      </w:r>
      <w:r w:rsidR="00861C11">
        <w:rPr>
          <w:vertAlign w:val="subscript"/>
        </w:rPr>
        <w:t>B</w:t>
      </w:r>
      <w:r w:rsidR="00861C11">
        <w:t xml:space="preserve"> rasagiline has a number of other additional benefits such as inhibiting apoptosis and increasing neurotrophic factors.</w:t>
      </w:r>
      <w:r w:rsidR="0013698C">
        <w:br w:type="page"/>
      </w:r>
    </w:p>
    <w:p w:rsidR="004F7314" w:rsidRPr="00F63039" w:rsidRDefault="00E04BA0" w:rsidP="006C657E">
      <w:pPr>
        <w:pStyle w:val="Heading2"/>
      </w:pPr>
      <w:r>
        <w:lastRenderedPageBreak/>
        <w:t>Schizophrenia</w:t>
      </w:r>
    </w:p>
    <w:p w:rsidR="00081C64" w:rsidRPr="006E4F7E" w:rsidRDefault="00081C64" w:rsidP="00081C64">
      <w:pPr>
        <w:pStyle w:val="Heading3"/>
      </w:pPr>
      <w:r w:rsidRPr="006E4F7E">
        <w:t>Epidemiology &amp; Pathophysiology</w:t>
      </w:r>
    </w:p>
    <w:p w:rsidR="00550730" w:rsidRDefault="00081C64" w:rsidP="00081C64">
      <w:pPr>
        <w:rPr>
          <w:rFonts w:cs="Arial"/>
        </w:rPr>
      </w:pPr>
      <w:r>
        <w:rPr>
          <w:rFonts w:cs="Arial"/>
        </w:rPr>
        <w:t>Schizophrenia is thought to affect between 0.5-1% of the population and has a non-uniform distribution across the globe, with developed countries showing higher prevalence than developing countries.</w:t>
      </w:r>
      <w:r w:rsidR="00550730">
        <w:rPr>
          <w:rFonts w:cs="Arial"/>
        </w:rPr>
        <w:t xml:space="preserve"> There have also found to be raised levels of psychosis across several ethic minority groups (or migrants) within developed countries, particularly within the Afro-Caribbean community.</w:t>
      </w:r>
    </w:p>
    <w:p w:rsidR="00A07032" w:rsidRDefault="00550730" w:rsidP="00081C64">
      <w:pPr>
        <w:rPr>
          <w:rFonts w:cs="Arial"/>
        </w:rPr>
      </w:pPr>
      <w:r>
        <w:rPr>
          <w:rFonts w:cs="Arial"/>
        </w:rPr>
        <w:t xml:space="preserve">With respect to </w:t>
      </w:r>
      <w:r w:rsidR="005D752E">
        <w:rPr>
          <w:rFonts w:cs="Arial"/>
        </w:rPr>
        <w:t xml:space="preserve">gender </w:t>
      </w:r>
      <w:r>
        <w:rPr>
          <w:rFonts w:cs="Arial"/>
        </w:rPr>
        <w:t xml:space="preserve">and </w:t>
      </w:r>
      <w:r w:rsidR="005D752E">
        <w:rPr>
          <w:rFonts w:cs="Arial"/>
        </w:rPr>
        <w:t xml:space="preserve">age </w:t>
      </w:r>
      <w:r>
        <w:rPr>
          <w:rFonts w:cs="Arial"/>
        </w:rPr>
        <w:t>there is</w:t>
      </w:r>
      <w:r w:rsidR="005D752E">
        <w:rPr>
          <w:rFonts w:cs="Arial"/>
        </w:rPr>
        <w:t xml:space="preserve"> a similar frequency between</w:t>
      </w:r>
      <w:r>
        <w:rPr>
          <w:rFonts w:cs="Arial"/>
        </w:rPr>
        <w:t xml:space="preserve"> men and women</w:t>
      </w:r>
      <w:r w:rsidR="005D752E">
        <w:rPr>
          <w:rFonts w:cs="Arial"/>
        </w:rPr>
        <w:t xml:space="preserve"> </w:t>
      </w:r>
      <w:r w:rsidR="008E52DC">
        <w:rPr>
          <w:rFonts w:cs="Arial"/>
        </w:rPr>
        <w:t>but a difference in disease progression. Whereas males show an earlier onset and peak around the twenties</w:t>
      </w:r>
      <w:r w:rsidR="00941B66">
        <w:rPr>
          <w:rFonts w:cs="Arial"/>
        </w:rPr>
        <w:t>,</w:t>
      </w:r>
      <w:r w:rsidR="005D752E">
        <w:rPr>
          <w:rFonts w:cs="Arial"/>
        </w:rPr>
        <w:t xml:space="preserve"> </w:t>
      </w:r>
      <w:r w:rsidR="006463B6">
        <w:rPr>
          <w:rFonts w:cs="Arial"/>
        </w:rPr>
        <w:t>females are found</w:t>
      </w:r>
      <w:r w:rsidR="00941B66">
        <w:rPr>
          <w:rFonts w:cs="Arial"/>
        </w:rPr>
        <w:t xml:space="preserve"> to have</w:t>
      </w:r>
      <w:r w:rsidR="005D752E">
        <w:rPr>
          <w:rFonts w:cs="Arial"/>
        </w:rPr>
        <w:t xml:space="preserve"> </w:t>
      </w:r>
      <w:r w:rsidR="006463B6">
        <w:rPr>
          <w:rFonts w:cs="Arial"/>
        </w:rPr>
        <w:t>a less pronounced peak during these ages and</w:t>
      </w:r>
      <w:r w:rsidR="00941B66">
        <w:rPr>
          <w:rFonts w:cs="Arial"/>
        </w:rPr>
        <w:t xml:space="preserve"> a</w:t>
      </w:r>
      <w:r w:rsidR="006463B6">
        <w:rPr>
          <w:rFonts w:cs="Arial"/>
        </w:rPr>
        <w:t xml:space="preserve"> midlife surge (over forties)</w:t>
      </w:r>
      <w:r w:rsidR="005D752E">
        <w:rPr>
          <w:rFonts w:cs="Arial"/>
        </w:rPr>
        <w:t>. In terms of genetics there is greater gradient of risk associated with the proximity of the relationship. For example individuals who have two schizophrenic parents or a schizophrenic monozygotic twin are around 50% more likely to develop the condition themselves. Moreover, the neurodevelopment hypothesis posits that genes involved in these processes may play an aetiological role. This has been substantiated, to a certain extent, by the fact that mutations in the genes dysbindin, neuregulin and disc1 (disrupted in schizophrenia 1) are linked to a greater risk of disease.</w:t>
      </w:r>
    </w:p>
    <w:p w:rsidR="005463CB" w:rsidRPr="00453849" w:rsidRDefault="005463CB" w:rsidP="00081C64">
      <w:pPr>
        <w:rPr>
          <w:rFonts w:cs="Arial"/>
        </w:rPr>
      </w:pPr>
      <w:r>
        <w:rPr>
          <w:rFonts w:cs="Arial"/>
        </w:rPr>
        <w:t xml:space="preserve">In terms of pathophysiology there are no consistent neuroanatomical or neurophysiological changes exhibited in patients with schizophrenia. The major perturbations are seen within the neurochemistry, in particular the mesolimbic and mesocortical dopaminergic pathways. In the most simplistic terms, there is thought to be a ‘hyperdopaminergic’ state in the mesolimbic pathways (which causes the positive symptoms of schizophrenia) and a ‘hypodopaminergic’ state in the mesocortical pathways (which cause the negative symptoms).  </w:t>
      </w:r>
    </w:p>
    <w:p w:rsidR="005463CB" w:rsidRDefault="00E04BA0" w:rsidP="00E04BA0">
      <w:pPr>
        <w:rPr>
          <w:rFonts w:cs="Arial"/>
          <w:i/>
        </w:rPr>
      </w:pPr>
      <w:r>
        <w:rPr>
          <w:rFonts w:cs="Arial"/>
          <w:i/>
        </w:rPr>
        <w:t>Symptoms</w:t>
      </w:r>
    </w:p>
    <w:p w:rsidR="005463CB" w:rsidRDefault="008E52DC" w:rsidP="005463CB">
      <w:r>
        <w:t>Since there are no pathognomonic features of schizophrenia the diagnostic criteria vary between different governing bodies. The American Psychiatric Association’s (APA) diagnostic and statistical manual of mental disorders (DSM) and the World Health Organisation’s (WHO) international classification of diseases (ICD) are the two most prominent guidelines. NB The current DSM-IV guidelines are due to be update</w:t>
      </w:r>
      <w:r w:rsidR="00941B66">
        <w:t>d</w:t>
      </w:r>
      <w:r>
        <w:t xml:space="preserve"> to DSM-V in May 2013. However, they both require the presence of symptoms including:</w:t>
      </w:r>
    </w:p>
    <w:p w:rsidR="008E52DC" w:rsidRDefault="008E52DC" w:rsidP="008E52DC">
      <w:pPr>
        <w:pStyle w:val="ListParagraph"/>
        <w:numPr>
          <w:ilvl w:val="0"/>
          <w:numId w:val="36"/>
        </w:numPr>
        <w:spacing w:after="0"/>
        <w:ind w:left="714" w:hanging="357"/>
      </w:pPr>
      <w:r>
        <w:t>Hallucinations</w:t>
      </w:r>
    </w:p>
    <w:p w:rsidR="008E52DC" w:rsidRDefault="008E52DC" w:rsidP="008E52DC">
      <w:pPr>
        <w:pStyle w:val="ListParagraph"/>
        <w:numPr>
          <w:ilvl w:val="0"/>
          <w:numId w:val="36"/>
        </w:numPr>
        <w:spacing w:after="0"/>
        <w:ind w:left="714" w:hanging="357"/>
      </w:pPr>
      <w:r>
        <w:t>Delusions</w:t>
      </w:r>
    </w:p>
    <w:p w:rsidR="008E52DC" w:rsidRDefault="008E52DC" w:rsidP="008E52DC">
      <w:pPr>
        <w:pStyle w:val="ListParagraph"/>
        <w:numPr>
          <w:ilvl w:val="0"/>
          <w:numId w:val="36"/>
        </w:numPr>
        <w:spacing w:after="0"/>
        <w:ind w:left="714" w:hanging="357"/>
      </w:pPr>
      <w:r>
        <w:t>Disorganised speech</w:t>
      </w:r>
    </w:p>
    <w:p w:rsidR="008E52DC" w:rsidRDefault="008E52DC" w:rsidP="008E52DC">
      <w:pPr>
        <w:pStyle w:val="ListParagraph"/>
        <w:numPr>
          <w:ilvl w:val="0"/>
          <w:numId w:val="36"/>
        </w:numPr>
        <w:spacing w:after="0"/>
        <w:ind w:left="714" w:hanging="357"/>
      </w:pPr>
      <w:r>
        <w:t>Catatonic behaviour</w:t>
      </w:r>
    </w:p>
    <w:p w:rsidR="008E52DC" w:rsidRDefault="008E52DC" w:rsidP="006463B6">
      <w:pPr>
        <w:pStyle w:val="ListParagraph"/>
        <w:numPr>
          <w:ilvl w:val="0"/>
          <w:numId w:val="36"/>
        </w:numPr>
        <w:spacing w:after="120"/>
        <w:ind w:left="714" w:hanging="357"/>
      </w:pPr>
      <w:r>
        <w:t>Primary negative symptoms</w:t>
      </w:r>
    </w:p>
    <w:p w:rsidR="006463B6" w:rsidRDefault="006463B6" w:rsidP="000C4350">
      <w:pPr>
        <w:spacing w:after="120"/>
      </w:pPr>
      <w:r>
        <w:t>In terms of symptom classification, there are various levels of categorisation that have developed over time. Most recently, schizophrenia has been classified as having six domains (positive, negative, disorganisation, cognitive, depression and anxiety) but the most arbitrary two domain classification is possibly the most intuitive. The two domains are:</w:t>
      </w:r>
    </w:p>
    <w:p w:rsidR="006463B6" w:rsidRDefault="006463B6" w:rsidP="006463B6">
      <w:pPr>
        <w:pStyle w:val="ListParagraph"/>
        <w:numPr>
          <w:ilvl w:val="0"/>
          <w:numId w:val="37"/>
        </w:numPr>
        <w:spacing w:after="0"/>
      </w:pPr>
      <w:r>
        <w:t>Positive symptoms: hallucinations, delusions, thought disorder, bizarre behaviour</w:t>
      </w:r>
    </w:p>
    <w:p w:rsidR="006463B6" w:rsidRDefault="006463B6" w:rsidP="000C4350">
      <w:pPr>
        <w:pStyle w:val="ListParagraph"/>
        <w:numPr>
          <w:ilvl w:val="0"/>
          <w:numId w:val="37"/>
        </w:numPr>
        <w:spacing w:after="120"/>
        <w:ind w:left="714" w:hanging="357"/>
      </w:pPr>
      <w:r>
        <w:t>Negative symptoms: affective flattening, alogia, anhedonia</w:t>
      </w:r>
      <w:r w:rsidR="000C4350">
        <w:t>, avolition/apathy</w:t>
      </w:r>
      <w:r>
        <w:t xml:space="preserve"> </w:t>
      </w:r>
    </w:p>
    <w:p w:rsidR="000C4350" w:rsidRDefault="000C4350" w:rsidP="000C4350">
      <w:pPr>
        <w:spacing w:after="0"/>
      </w:pPr>
      <w:r>
        <w:t xml:space="preserve">The positive symptoms have been ascribed to increased dopaminergic activity in the mesolimbic pathway, whereas the negative are attributed to reduced dopaminergic activity in the mesocortical pathway.  </w:t>
      </w:r>
    </w:p>
    <w:p w:rsidR="000C4350" w:rsidRDefault="000C4350" w:rsidP="000C4350">
      <w:pPr>
        <w:spacing w:after="0"/>
      </w:pPr>
    </w:p>
    <w:p w:rsidR="000C4350" w:rsidRDefault="000C4350" w:rsidP="000C4350">
      <w:pPr>
        <w:pStyle w:val="Heading3"/>
      </w:pPr>
      <w:r>
        <w:t>Pharmacology</w:t>
      </w:r>
    </w:p>
    <w:p w:rsidR="000C4350" w:rsidRDefault="000C4350" w:rsidP="000C4350">
      <w:pPr>
        <w:spacing w:after="0"/>
      </w:pPr>
      <w:r>
        <w:t xml:space="preserve">There are 20 drugs currently licensed in the UK (April 2013) for the treatment of schizophrenia, 13 of which fall into the category of first-generation (typical) antipsychotics (FGAs) and 7 that are second-generation (atypical) antipsychotics (SGAs). </w:t>
      </w:r>
      <w:r w:rsidR="00A82367">
        <w:t>Some</w:t>
      </w:r>
      <w:r>
        <w:t xml:space="preserve"> of these drugs are shown in table 3.</w:t>
      </w:r>
    </w:p>
    <w:p w:rsidR="00551D75" w:rsidRDefault="00A82367" w:rsidP="000C4350">
      <w:pPr>
        <w:spacing w:after="0"/>
      </w:pPr>
      <w:r>
        <w:t>Historically, the SGAs were so named because they were tho</w:t>
      </w:r>
      <w:r w:rsidR="00551D75">
        <w:t>ught to act through the serotonergic system rather than the dopaminergic system. However, this is now known not to be the case so this categorisation is essentially just based on date of discovery.</w:t>
      </w:r>
    </w:p>
    <w:p w:rsidR="005463CB" w:rsidRDefault="005463CB" w:rsidP="005463CB"/>
    <w:p w:rsidR="00551D75" w:rsidRPr="00DD7133" w:rsidRDefault="00551D75" w:rsidP="005463CB">
      <w:pPr>
        <w:rPr>
          <w:b/>
        </w:rPr>
      </w:pPr>
      <w:r w:rsidRPr="00DD7133">
        <w:rPr>
          <w:b/>
        </w:rPr>
        <w:t>Table 3: A selection of the antipsychotic drugs licensed in the UK</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025"/>
        <w:gridCol w:w="2272"/>
        <w:gridCol w:w="2127"/>
        <w:gridCol w:w="2759"/>
      </w:tblGrid>
      <w:tr w:rsidR="00DD5155" w:rsidRPr="00D51D13" w:rsidTr="0086254C">
        <w:trPr>
          <w:trHeight w:val="587"/>
        </w:trPr>
        <w:tc>
          <w:tcPr>
            <w:tcW w:w="914" w:type="dxa"/>
            <w:tcBorders>
              <w:bottom w:val="single" w:sz="4" w:space="0" w:color="auto"/>
            </w:tcBorders>
            <w:shd w:val="clear" w:color="auto" w:fill="D9D9D9" w:themeFill="background1" w:themeFillShade="D9"/>
            <w:vAlign w:val="center"/>
          </w:tcPr>
          <w:p w:rsidR="00DD5155" w:rsidRPr="00D51D13" w:rsidRDefault="00DD5155" w:rsidP="00DD5155">
            <w:pPr>
              <w:spacing w:after="0"/>
              <w:rPr>
                <w:rFonts w:cs="Arial"/>
                <w:b/>
                <w:sz w:val="24"/>
                <w:szCs w:val="24"/>
              </w:rPr>
            </w:pPr>
          </w:p>
        </w:tc>
        <w:tc>
          <w:tcPr>
            <w:tcW w:w="2025" w:type="dxa"/>
            <w:tcBorders>
              <w:bottom w:val="single" w:sz="4" w:space="0" w:color="auto"/>
            </w:tcBorders>
            <w:shd w:val="clear" w:color="auto" w:fill="D9D9D9" w:themeFill="background1" w:themeFillShade="D9"/>
            <w:vAlign w:val="center"/>
          </w:tcPr>
          <w:p w:rsidR="00DD5155" w:rsidRPr="00D51D13" w:rsidRDefault="00DD5155" w:rsidP="00DD5155">
            <w:pPr>
              <w:spacing w:after="0"/>
              <w:rPr>
                <w:rFonts w:cs="Arial"/>
                <w:b/>
                <w:sz w:val="24"/>
                <w:szCs w:val="24"/>
              </w:rPr>
            </w:pPr>
            <w:r w:rsidRPr="00D51D13">
              <w:rPr>
                <w:rFonts w:cs="Arial"/>
                <w:b/>
                <w:sz w:val="24"/>
                <w:szCs w:val="24"/>
              </w:rPr>
              <w:t>Drug Name</w:t>
            </w:r>
          </w:p>
        </w:tc>
        <w:tc>
          <w:tcPr>
            <w:tcW w:w="2272" w:type="dxa"/>
            <w:tcBorders>
              <w:bottom w:val="single" w:sz="4" w:space="0" w:color="auto"/>
            </w:tcBorders>
            <w:shd w:val="clear" w:color="auto" w:fill="D9D9D9" w:themeFill="background1" w:themeFillShade="D9"/>
            <w:vAlign w:val="center"/>
          </w:tcPr>
          <w:p w:rsidR="00DD5155" w:rsidRPr="00D51D13" w:rsidRDefault="00DD5155" w:rsidP="00DD5155">
            <w:pPr>
              <w:spacing w:after="0"/>
              <w:rPr>
                <w:rFonts w:cs="Arial"/>
                <w:b/>
                <w:sz w:val="24"/>
                <w:szCs w:val="24"/>
              </w:rPr>
            </w:pPr>
            <w:r>
              <w:rPr>
                <w:rFonts w:cs="Arial"/>
                <w:b/>
                <w:sz w:val="24"/>
                <w:szCs w:val="24"/>
              </w:rPr>
              <w:t>Receptor effects</w:t>
            </w:r>
          </w:p>
        </w:tc>
        <w:tc>
          <w:tcPr>
            <w:tcW w:w="2127" w:type="dxa"/>
            <w:tcBorders>
              <w:bottom w:val="single" w:sz="4" w:space="0" w:color="auto"/>
            </w:tcBorders>
            <w:shd w:val="clear" w:color="auto" w:fill="D9D9D9" w:themeFill="background1" w:themeFillShade="D9"/>
            <w:vAlign w:val="center"/>
          </w:tcPr>
          <w:p w:rsidR="00DD5155" w:rsidRPr="00D51D13" w:rsidRDefault="00DD5155" w:rsidP="00DD5155">
            <w:pPr>
              <w:spacing w:after="0"/>
              <w:rPr>
                <w:rFonts w:cs="Arial"/>
                <w:b/>
                <w:sz w:val="24"/>
                <w:szCs w:val="24"/>
              </w:rPr>
            </w:pPr>
            <w:r w:rsidRPr="00D51D13">
              <w:rPr>
                <w:rFonts w:cs="Arial"/>
                <w:b/>
                <w:sz w:val="24"/>
                <w:szCs w:val="24"/>
              </w:rPr>
              <w:t>Side-effects</w:t>
            </w:r>
          </w:p>
        </w:tc>
        <w:tc>
          <w:tcPr>
            <w:tcW w:w="2759" w:type="dxa"/>
            <w:tcBorders>
              <w:bottom w:val="single" w:sz="4" w:space="0" w:color="auto"/>
            </w:tcBorders>
            <w:shd w:val="clear" w:color="auto" w:fill="D9D9D9" w:themeFill="background1" w:themeFillShade="D9"/>
            <w:vAlign w:val="center"/>
          </w:tcPr>
          <w:p w:rsidR="00DD5155" w:rsidRPr="00D51D13" w:rsidRDefault="00DD5155" w:rsidP="00DD5155">
            <w:pPr>
              <w:spacing w:after="0"/>
              <w:rPr>
                <w:rFonts w:cs="Arial"/>
                <w:b/>
                <w:sz w:val="24"/>
                <w:szCs w:val="24"/>
              </w:rPr>
            </w:pPr>
            <w:r>
              <w:rPr>
                <w:rFonts w:cs="Arial"/>
                <w:b/>
                <w:sz w:val="24"/>
                <w:szCs w:val="24"/>
              </w:rPr>
              <w:t>Positive attributes</w:t>
            </w:r>
          </w:p>
        </w:tc>
      </w:tr>
      <w:tr w:rsidR="00DD5155" w:rsidRPr="00D51D13" w:rsidTr="0086254C">
        <w:trPr>
          <w:cantSplit/>
          <w:trHeight w:val="964"/>
        </w:trPr>
        <w:tc>
          <w:tcPr>
            <w:tcW w:w="914" w:type="dxa"/>
            <w:vMerge w:val="restart"/>
            <w:shd w:val="pct5" w:color="auto" w:fill="auto"/>
            <w:textDirection w:val="btLr"/>
            <w:vAlign w:val="center"/>
          </w:tcPr>
          <w:p w:rsidR="00DD5155" w:rsidRPr="00D51D13" w:rsidRDefault="000C4350" w:rsidP="00007B3B">
            <w:pPr>
              <w:spacing w:after="0"/>
              <w:ind w:left="113" w:right="113"/>
              <w:jc w:val="center"/>
              <w:rPr>
                <w:rFonts w:cs="Arial"/>
                <w:b/>
              </w:rPr>
            </w:pPr>
            <w:r>
              <w:rPr>
                <w:rFonts w:cs="Arial"/>
                <w:b/>
              </w:rPr>
              <w:t>FGAs</w:t>
            </w: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b/>
                <w:sz w:val="20"/>
                <w:szCs w:val="20"/>
              </w:rPr>
            </w:pPr>
            <w:r w:rsidRPr="00D51D13">
              <w:rPr>
                <w:rFonts w:cs="Arial"/>
                <w:b/>
                <w:sz w:val="20"/>
                <w:szCs w:val="20"/>
              </w:rPr>
              <w:t>Chlorpromazine</w:t>
            </w:r>
          </w:p>
          <w:p w:rsidR="00DD5155" w:rsidRPr="00D51D13" w:rsidRDefault="00DD5155" w:rsidP="00DD5155">
            <w:pPr>
              <w:spacing w:after="0"/>
              <w:jc w:val="left"/>
              <w:rPr>
                <w:rFonts w:cs="Arial"/>
                <w:sz w:val="20"/>
                <w:szCs w:val="20"/>
              </w:rPr>
            </w:pPr>
            <w:r w:rsidRPr="00D51D13">
              <w:rPr>
                <w:rFonts w:cs="Arial"/>
                <w:sz w:val="20"/>
                <w:szCs w:val="20"/>
              </w:rPr>
              <w:t>(phenothiazine)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1-5</w:t>
            </w:r>
            <w:r>
              <w:rPr>
                <w:rFonts w:cs="Arial"/>
                <w:sz w:val="20"/>
                <w:szCs w:val="20"/>
              </w:rPr>
              <w:t xml:space="preserve">) </w:t>
            </w:r>
            <w:r w:rsidRPr="00D51D13">
              <w:rPr>
                <w:rFonts w:cs="Arial"/>
                <w:sz w:val="20"/>
                <w:szCs w:val="20"/>
              </w:rPr>
              <w:t>antagonist</w:t>
            </w:r>
          </w:p>
          <w:p w:rsidR="00DD5155" w:rsidRPr="00D51D13" w:rsidRDefault="00DD5155" w:rsidP="00DD5155">
            <w:pPr>
              <w:spacing w:after="0"/>
              <w:jc w:val="left"/>
              <w:rPr>
                <w:rFonts w:cs="Arial"/>
                <w:sz w:val="20"/>
                <w:szCs w:val="20"/>
              </w:rPr>
            </w:pPr>
            <w:r w:rsidRPr="00D51D13">
              <w:rPr>
                <w:rFonts w:cs="Arial"/>
                <w:sz w:val="20"/>
                <w:szCs w:val="20"/>
              </w:rPr>
              <w:t>M</w:t>
            </w:r>
            <w:r w:rsidRPr="00D51D13">
              <w:rPr>
                <w:rFonts w:cs="Arial"/>
                <w:sz w:val="20"/>
                <w:szCs w:val="20"/>
                <w:vertAlign w:val="subscript"/>
              </w:rPr>
              <w:t>1,2</w:t>
            </w:r>
            <w:r w:rsidRPr="00D51D13">
              <w:rPr>
                <w:rFonts w:cs="Arial"/>
                <w:sz w:val="20"/>
                <w:szCs w:val="20"/>
              </w:rPr>
              <w:t>,</w:t>
            </w:r>
            <w:r w:rsidRPr="00D51D13">
              <w:rPr>
                <w:rFonts w:cs="Arial"/>
                <w:sz w:val="20"/>
                <w:szCs w:val="20"/>
              </w:rPr>
              <w:sym w:font="Symbol" w:char="F061"/>
            </w:r>
            <w:r w:rsidRPr="00D51D13">
              <w:rPr>
                <w:rFonts w:cs="Arial"/>
                <w:sz w:val="20"/>
                <w:szCs w:val="20"/>
              </w:rPr>
              <w:t xml:space="preserve"> &amp; H</w:t>
            </w:r>
            <w:r w:rsidRPr="00D51D13">
              <w:rPr>
                <w:rFonts w:cs="Arial"/>
                <w:sz w:val="20"/>
                <w:szCs w:val="20"/>
                <w:vertAlign w:val="subscript"/>
              </w:rPr>
              <w:t>1</w:t>
            </w:r>
            <w:r w:rsidRPr="00D51D13">
              <w:rPr>
                <w:rFonts w:cs="Arial"/>
                <w:sz w:val="20"/>
                <w:szCs w:val="20"/>
              </w:rPr>
              <w:t xml:space="preserve"> 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42F10" w:rsidRDefault="00DD5155" w:rsidP="00DD5155">
            <w:pPr>
              <w:spacing w:after="0"/>
              <w:jc w:val="left"/>
              <w:rPr>
                <w:rFonts w:cs="Arial"/>
                <w:sz w:val="20"/>
                <w:szCs w:val="20"/>
              </w:rPr>
            </w:pPr>
            <w:r>
              <w:rPr>
                <w:rFonts w:cs="Arial"/>
                <w:sz w:val="20"/>
                <w:szCs w:val="20"/>
              </w:rPr>
              <w:t>Anticholinergic side-effects</w:t>
            </w:r>
            <w:r w:rsidRPr="00D51D13">
              <w:rPr>
                <w:rFonts w:cs="Arial"/>
                <w:sz w:val="20"/>
                <w:szCs w:val="20"/>
              </w:rPr>
              <w:t xml:space="preserve"> </w:t>
            </w:r>
          </w:p>
          <w:p w:rsidR="00DD5155" w:rsidRPr="00D51D13" w:rsidRDefault="00DD5155" w:rsidP="00DD5155">
            <w:pPr>
              <w:spacing w:after="0"/>
              <w:jc w:val="left"/>
              <w:rPr>
                <w:rFonts w:cs="Arial"/>
                <w:sz w:val="20"/>
                <w:szCs w:val="20"/>
              </w:rPr>
            </w:pPr>
            <w:r>
              <w:rPr>
                <w:rFonts w:cs="Arial"/>
                <w:sz w:val="20"/>
                <w:szCs w:val="20"/>
              </w:rPr>
              <w:t>Marked sedation</w:t>
            </w:r>
            <w:r w:rsidRPr="00D51D13">
              <w:rPr>
                <w:rFonts w:cs="Arial"/>
                <w:sz w:val="20"/>
                <w:szCs w:val="20"/>
              </w:rPr>
              <w:t xml:space="preserve"> </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 xml:space="preserve">Low potency with fewer </w:t>
            </w:r>
            <w:r>
              <w:rPr>
                <w:rFonts w:cs="Arial"/>
                <w:sz w:val="20"/>
                <w:szCs w:val="20"/>
              </w:rPr>
              <w:t>EPS</w:t>
            </w:r>
          </w:p>
        </w:tc>
      </w:tr>
      <w:tr w:rsidR="00DD5155" w:rsidRPr="00D51D13" w:rsidTr="0086254C">
        <w:trPr>
          <w:cantSplit/>
          <w:trHeight w:val="668"/>
        </w:trPr>
        <w:tc>
          <w:tcPr>
            <w:tcW w:w="914" w:type="dxa"/>
            <w:vMerge/>
            <w:shd w:val="pct5" w:color="auto" w:fill="auto"/>
            <w:vAlign w:val="center"/>
          </w:tcPr>
          <w:p w:rsidR="00DD5155" w:rsidRPr="00D51D13" w:rsidRDefault="00DD5155" w:rsidP="00007B3B">
            <w:pPr>
              <w:spacing w:after="0"/>
              <w:ind w:left="113" w:right="113"/>
              <w:jc w:val="center"/>
              <w:rPr>
                <w:rFonts w:cs="Arial"/>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b/>
                <w:sz w:val="20"/>
                <w:szCs w:val="20"/>
              </w:rPr>
            </w:pPr>
            <w:hyperlink r:id="rId10" w:tooltip="HALOPERIDOL" w:history="1">
              <w:r w:rsidR="00DD5155" w:rsidRPr="00D51D13">
                <w:rPr>
                  <w:rFonts w:eastAsia="Times New Roman" w:cs="Arial"/>
                  <w:b/>
                  <w:sz w:val="20"/>
                  <w:szCs w:val="20"/>
                </w:rPr>
                <w:t>Haloperidol</w:t>
              </w:r>
            </w:hyperlink>
          </w:p>
          <w:p w:rsidR="00DD5155" w:rsidRPr="00D51D13" w:rsidRDefault="00DD5155" w:rsidP="00DD5155">
            <w:pPr>
              <w:spacing w:after="0"/>
              <w:jc w:val="left"/>
              <w:rPr>
                <w:rFonts w:cs="Arial"/>
                <w:sz w:val="20"/>
                <w:szCs w:val="20"/>
              </w:rPr>
            </w:pPr>
            <w:r w:rsidRPr="00D51D13">
              <w:rPr>
                <w:rFonts w:cs="Arial"/>
                <w:sz w:val="20"/>
                <w:szCs w:val="20"/>
              </w:rPr>
              <w:t>(butyrophenone)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E75442" w:rsidP="00E75442">
            <w:pPr>
              <w:spacing w:after="0"/>
              <w:jc w:val="left"/>
              <w:rPr>
                <w:rFonts w:cs="Arial"/>
                <w:sz w:val="20"/>
                <w:szCs w:val="20"/>
              </w:rPr>
            </w:pPr>
            <w:r>
              <w:rPr>
                <w:rFonts w:cs="Arial"/>
                <w:sz w:val="20"/>
                <w:szCs w:val="20"/>
              </w:rPr>
              <w:t>D</w:t>
            </w:r>
            <w:r w:rsidR="00DD5155" w:rsidRPr="00D51D13">
              <w:rPr>
                <w:rFonts w:cs="Arial"/>
                <w:sz w:val="20"/>
                <w:szCs w:val="20"/>
                <w:vertAlign w:val="subscript"/>
              </w:rPr>
              <w:t>2</w:t>
            </w:r>
            <w:r>
              <w:rPr>
                <w:rFonts w:cs="Arial"/>
                <w:sz w:val="20"/>
                <w:szCs w:val="20"/>
                <w:vertAlign w:val="subscript"/>
              </w:rPr>
              <w:t>,3</w:t>
            </w:r>
            <w:r w:rsidR="00DD5155" w:rsidRPr="00D51D13">
              <w:rPr>
                <w:rFonts w:cs="Arial"/>
                <w:sz w:val="20"/>
                <w:szCs w:val="20"/>
              </w:rPr>
              <w:t xml:space="preserve"> 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 xml:space="preserve">High incidence </w:t>
            </w:r>
            <w:r w:rsidR="002A3524">
              <w:rPr>
                <w:rFonts w:cs="Arial"/>
                <w:sz w:val="20"/>
                <w:szCs w:val="20"/>
              </w:rPr>
              <w:t xml:space="preserve">of </w:t>
            </w:r>
            <w:r>
              <w:rPr>
                <w:rFonts w:cs="Arial"/>
                <w:sz w:val="20"/>
                <w:szCs w:val="20"/>
              </w:rPr>
              <w:t>EPS</w:t>
            </w:r>
            <w:r w:rsidRPr="00D51D13">
              <w:rPr>
                <w:rFonts w:cs="Arial"/>
                <w:sz w:val="20"/>
                <w:szCs w:val="20"/>
              </w:rPr>
              <w:t xml:space="preserve"> </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Default="00142F10" w:rsidP="00DD5155">
            <w:pPr>
              <w:spacing w:after="0"/>
              <w:jc w:val="left"/>
              <w:rPr>
                <w:rFonts w:cs="Arial"/>
                <w:sz w:val="20"/>
                <w:szCs w:val="20"/>
              </w:rPr>
            </w:pPr>
            <w:r>
              <w:rPr>
                <w:rFonts w:cs="Arial"/>
                <w:sz w:val="20"/>
                <w:szCs w:val="20"/>
              </w:rPr>
              <w:t>Less weight gain</w:t>
            </w:r>
          </w:p>
          <w:p w:rsidR="00DD5155" w:rsidRPr="00D51D13" w:rsidRDefault="00007B3B" w:rsidP="00007B3B">
            <w:pPr>
              <w:spacing w:after="0"/>
              <w:jc w:val="left"/>
              <w:rPr>
                <w:rFonts w:cs="Arial"/>
                <w:sz w:val="20"/>
                <w:szCs w:val="20"/>
              </w:rPr>
            </w:pPr>
            <w:r>
              <w:rPr>
                <w:rFonts w:cs="Arial"/>
                <w:sz w:val="20"/>
                <w:szCs w:val="20"/>
              </w:rPr>
              <w:t>Depot preparation</w:t>
            </w:r>
          </w:p>
        </w:tc>
      </w:tr>
      <w:tr w:rsidR="00DD5155" w:rsidRPr="00D51D13" w:rsidTr="0086254C">
        <w:trPr>
          <w:cantSplit/>
          <w:trHeight w:val="668"/>
        </w:trPr>
        <w:tc>
          <w:tcPr>
            <w:tcW w:w="914" w:type="dxa"/>
            <w:vMerge/>
            <w:shd w:val="pct5" w:color="auto" w:fill="auto"/>
            <w:vAlign w:val="center"/>
          </w:tcPr>
          <w:p w:rsidR="00DD5155" w:rsidRPr="00D51D13" w:rsidRDefault="00DD5155" w:rsidP="00007B3B">
            <w:pPr>
              <w:spacing w:after="0"/>
              <w:ind w:left="113" w:right="113"/>
              <w:jc w:val="center"/>
              <w:rPr>
                <w:rFonts w:cs="Arial"/>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2C65A3" w:rsidRDefault="00DD5155" w:rsidP="00DD5155">
            <w:pPr>
              <w:spacing w:after="0"/>
              <w:jc w:val="left"/>
              <w:rPr>
                <w:rFonts w:cs="Arial"/>
                <w:b/>
                <w:sz w:val="20"/>
                <w:szCs w:val="20"/>
              </w:rPr>
            </w:pPr>
            <w:r w:rsidRPr="002C65A3">
              <w:rPr>
                <w:rFonts w:cs="Arial"/>
                <w:b/>
                <w:sz w:val="20"/>
                <w:szCs w:val="20"/>
              </w:rPr>
              <w:t>Flupentixol</w:t>
            </w:r>
          </w:p>
          <w:p w:rsidR="00DD5155" w:rsidRPr="00D51D13" w:rsidRDefault="00DD5155" w:rsidP="009E72A5">
            <w:pPr>
              <w:spacing w:after="0"/>
              <w:jc w:val="left"/>
              <w:rPr>
                <w:rFonts w:cs="Arial"/>
                <w:sz w:val="20"/>
                <w:szCs w:val="20"/>
              </w:rPr>
            </w:pPr>
            <w:r>
              <w:rPr>
                <w:rFonts w:cs="Arial"/>
                <w:sz w:val="20"/>
                <w:szCs w:val="20"/>
              </w:rPr>
              <w:t>(</w:t>
            </w:r>
            <w:r w:rsidR="009E72A5">
              <w:rPr>
                <w:rFonts w:cs="Arial"/>
                <w:sz w:val="20"/>
                <w:szCs w:val="20"/>
              </w:rPr>
              <w:t>thioxanthene</w:t>
            </w:r>
            <w:r>
              <w:rPr>
                <w:rFonts w:cs="Arial"/>
                <w:sz w:val="20"/>
                <w:szCs w:val="20"/>
              </w:rPr>
              <w:t>)</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1-5</w:t>
            </w:r>
            <w:r w:rsidRPr="00D51D13">
              <w:rPr>
                <w:rFonts w:cs="Arial"/>
                <w:sz w:val="20"/>
                <w:szCs w:val="20"/>
              </w:rPr>
              <w:t>) antagonist</w:t>
            </w:r>
          </w:p>
          <w:p w:rsidR="00DD5155" w:rsidRPr="00D51D13" w:rsidRDefault="00DD5155" w:rsidP="00DD5155">
            <w:pPr>
              <w:spacing w:after="0"/>
              <w:jc w:val="left"/>
              <w:rPr>
                <w:rFonts w:cs="Arial"/>
                <w:sz w:val="20"/>
                <w:szCs w:val="20"/>
              </w:rPr>
            </w:pPr>
            <w:r w:rsidRPr="00D51D13">
              <w:rPr>
                <w:rFonts w:cs="Arial"/>
                <w:sz w:val="20"/>
                <w:szCs w:val="20"/>
              </w:rPr>
              <w:t>5-HT</w:t>
            </w:r>
            <w:r w:rsidRPr="00D51D13">
              <w:rPr>
                <w:rFonts w:cs="Arial"/>
                <w:sz w:val="20"/>
                <w:szCs w:val="20"/>
                <w:vertAlign w:val="subscript"/>
              </w:rPr>
              <w:t>2</w:t>
            </w:r>
            <w:r w:rsidRPr="00D51D13">
              <w:rPr>
                <w:rFonts w:cs="Arial"/>
                <w:sz w:val="20"/>
                <w:szCs w:val="20"/>
              </w:rPr>
              <w:t xml:space="preserve"> antagonist</w:t>
            </w:r>
          </w:p>
          <w:p w:rsidR="00DD5155" w:rsidRPr="00D51D13" w:rsidRDefault="00DD5155" w:rsidP="00DD5155">
            <w:pPr>
              <w:spacing w:after="0"/>
              <w:jc w:val="left"/>
              <w:rPr>
                <w:rFonts w:cs="Arial"/>
                <w:sz w:val="20"/>
                <w:szCs w:val="20"/>
              </w:rPr>
            </w:pPr>
            <w:r>
              <w:rPr>
                <w:rFonts w:cs="Arial"/>
                <w:sz w:val="20"/>
                <w:szCs w:val="20"/>
              </w:rPr>
              <w:sym w:font="Symbol" w:char="F061"/>
            </w:r>
            <w:r>
              <w:rPr>
                <w:rFonts w:cs="Arial"/>
                <w:sz w:val="20"/>
                <w:szCs w:val="20"/>
                <w:vertAlign w:val="subscript"/>
              </w:rPr>
              <w:t xml:space="preserve">1 </w:t>
            </w:r>
            <w:r w:rsidRPr="00D51D13">
              <w:rPr>
                <w:rFonts w:cs="Arial"/>
                <w:sz w:val="20"/>
                <w:szCs w:val="20"/>
              </w:rPr>
              <w:t>&amp; H</w:t>
            </w:r>
            <w:r w:rsidRPr="00D51D13">
              <w:rPr>
                <w:rFonts w:cs="Arial"/>
                <w:sz w:val="20"/>
                <w:szCs w:val="20"/>
                <w:vertAlign w:val="subscript"/>
              </w:rPr>
              <w:t>1</w:t>
            </w:r>
            <w:r w:rsidRPr="00D51D13">
              <w:rPr>
                <w:rFonts w:cs="Arial"/>
                <w:sz w:val="20"/>
                <w:szCs w:val="20"/>
              </w:rPr>
              <w:t xml:space="preserve"> </w:t>
            </w:r>
            <w:r>
              <w:rPr>
                <w:rFonts w:cs="Arial"/>
                <w:sz w:val="20"/>
                <w:szCs w:val="20"/>
              </w:rPr>
              <w:t>a</w:t>
            </w:r>
            <w:r w:rsidRPr="00D51D13">
              <w:rPr>
                <w:rFonts w:cs="Arial"/>
                <w:sz w:val="20"/>
                <w:szCs w:val="20"/>
              </w:rPr>
              <w:t>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142F10" w:rsidP="00DD5155">
            <w:pPr>
              <w:spacing w:after="0"/>
              <w:jc w:val="left"/>
              <w:rPr>
                <w:rFonts w:cs="Arial"/>
                <w:sz w:val="20"/>
                <w:szCs w:val="20"/>
              </w:rPr>
            </w:pPr>
            <w:r w:rsidRPr="00D51D13">
              <w:rPr>
                <w:rFonts w:cs="Arial"/>
                <w:sz w:val="20"/>
                <w:szCs w:val="20"/>
              </w:rPr>
              <w:t xml:space="preserve">High incidence </w:t>
            </w:r>
            <w:r>
              <w:rPr>
                <w:rFonts w:cs="Arial"/>
                <w:sz w:val="20"/>
                <w:szCs w:val="20"/>
              </w:rPr>
              <w:t>of EPS</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142F10" w:rsidRDefault="00142F10" w:rsidP="00DD5155">
            <w:pPr>
              <w:spacing w:after="0"/>
              <w:jc w:val="left"/>
              <w:rPr>
                <w:rFonts w:cs="Arial"/>
                <w:sz w:val="20"/>
                <w:szCs w:val="20"/>
              </w:rPr>
            </w:pPr>
            <w:r>
              <w:rPr>
                <w:rFonts w:cs="Arial"/>
                <w:sz w:val="20"/>
                <w:szCs w:val="20"/>
              </w:rPr>
              <w:t xml:space="preserve">Less sedating </w:t>
            </w:r>
          </w:p>
          <w:p w:rsidR="00DD5155" w:rsidRPr="00D51D13" w:rsidRDefault="00007B3B" w:rsidP="00DD5155">
            <w:pPr>
              <w:spacing w:after="0"/>
              <w:jc w:val="left"/>
              <w:rPr>
                <w:rFonts w:cs="Arial"/>
                <w:sz w:val="20"/>
                <w:szCs w:val="20"/>
              </w:rPr>
            </w:pPr>
            <w:r>
              <w:rPr>
                <w:rFonts w:cs="Arial"/>
                <w:sz w:val="20"/>
                <w:szCs w:val="20"/>
              </w:rPr>
              <w:t>Depot preparation</w:t>
            </w:r>
          </w:p>
        </w:tc>
      </w:tr>
      <w:tr w:rsidR="00DD5155" w:rsidRPr="00D51D13" w:rsidTr="0086254C">
        <w:trPr>
          <w:cantSplit/>
          <w:trHeight w:val="668"/>
        </w:trPr>
        <w:tc>
          <w:tcPr>
            <w:tcW w:w="914" w:type="dxa"/>
            <w:vMerge/>
            <w:shd w:val="pct5" w:color="auto" w:fill="auto"/>
            <w:vAlign w:val="center"/>
          </w:tcPr>
          <w:p w:rsidR="00DD5155" w:rsidRPr="00D51D13" w:rsidRDefault="00DD5155" w:rsidP="00007B3B">
            <w:pPr>
              <w:spacing w:after="0"/>
              <w:ind w:left="113" w:right="113"/>
              <w:jc w:val="center"/>
              <w:rPr>
                <w:rFonts w:cs="Arial"/>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Default="00DD5155" w:rsidP="00DD5155">
            <w:pPr>
              <w:spacing w:after="0"/>
              <w:jc w:val="left"/>
              <w:rPr>
                <w:rFonts w:cs="Arial"/>
                <w:b/>
                <w:sz w:val="20"/>
                <w:szCs w:val="20"/>
              </w:rPr>
            </w:pPr>
            <w:r>
              <w:rPr>
                <w:rFonts w:cs="Arial"/>
                <w:b/>
                <w:sz w:val="20"/>
                <w:szCs w:val="20"/>
              </w:rPr>
              <w:t>Perphenazine</w:t>
            </w:r>
          </w:p>
          <w:p w:rsidR="00DD5155" w:rsidRPr="002C65A3" w:rsidRDefault="00DD5155" w:rsidP="007A785C">
            <w:pPr>
              <w:spacing w:after="0"/>
              <w:jc w:val="left"/>
              <w:rPr>
                <w:rFonts w:cs="Arial"/>
                <w:sz w:val="20"/>
                <w:szCs w:val="20"/>
              </w:rPr>
            </w:pPr>
            <w:r>
              <w:rPr>
                <w:rFonts w:cs="Arial"/>
                <w:sz w:val="20"/>
                <w:szCs w:val="20"/>
              </w:rPr>
              <w:t>(p</w:t>
            </w:r>
            <w:r w:rsidR="007A785C">
              <w:rPr>
                <w:rFonts w:cs="Arial"/>
                <w:sz w:val="20"/>
                <w:szCs w:val="20"/>
              </w:rPr>
              <w:t>henothiazine</w:t>
            </w:r>
            <w:r>
              <w:rPr>
                <w:rFonts w:cs="Arial"/>
                <w:sz w:val="20"/>
                <w:szCs w:val="20"/>
              </w:rPr>
              <w:t>)</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142F10"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1-5</w:t>
            </w:r>
            <w:r>
              <w:rPr>
                <w:rFonts w:cs="Arial"/>
                <w:sz w:val="20"/>
                <w:szCs w:val="20"/>
              </w:rPr>
              <w:t xml:space="preserve">) </w:t>
            </w:r>
            <w:r w:rsidRPr="00D51D13">
              <w:rPr>
                <w:rFonts w:cs="Arial"/>
                <w:sz w:val="20"/>
                <w:szCs w:val="20"/>
              </w:rPr>
              <w:t>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7A785C" w:rsidP="00DD5155">
            <w:pPr>
              <w:spacing w:after="0"/>
              <w:jc w:val="left"/>
              <w:rPr>
                <w:rFonts w:cs="Arial"/>
                <w:sz w:val="20"/>
                <w:szCs w:val="20"/>
              </w:rPr>
            </w:pPr>
            <w:r>
              <w:rPr>
                <w:rFonts w:cs="Arial"/>
                <w:sz w:val="20"/>
                <w:szCs w:val="20"/>
              </w:rPr>
              <w:t>Dystonias</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Default="00007B3B" w:rsidP="00DD5155">
            <w:pPr>
              <w:spacing w:after="0"/>
              <w:jc w:val="left"/>
              <w:rPr>
                <w:rFonts w:cs="Arial"/>
                <w:sz w:val="20"/>
                <w:szCs w:val="20"/>
              </w:rPr>
            </w:pPr>
            <w:r>
              <w:rPr>
                <w:rFonts w:cs="Arial"/>
                <w:sz w:val="20"/>
                <w:szCs w:val="20"/>
              </w:rPr>
              <w:t>Similar side-effect profile to SGAs</w:t>
            </w:r>
          </w:p>
          <w:p w:rsidR="007A785C" w:rsidRPr="00D51D13" w:rsidRDefault="007A785C" w:rsidP="00DD5155">
            <w:pPr>
              <w:spacing w:after="0"/>
              <w:jc w:val="left"/>
              <w:rPr>
                <w:rFonts w:cs="Arial"/>
                <w:sz w:val="20"/>
                <w:szCs w:val="20"/>
              </w:rPr>
            </w:pPr>
            <w:r>
              <w:rPr>
                <w:rFonts w:cs="Arial"/>
                <w:sz w:val="20"/>
                <w:szCs w:val="20"/>
              </w:rPr>
              <w:t>antiemetic</w:t>
            </w:r>
          </w:p>
        </w:tc>
      </w:tr>
      <w:tr w:rsidR="00DD5155" w:rsidRPr="00D51D13" w:rsidTr="0086254C">
        <w:trPr>
          <w:cantSplit/>
          <w:trHeight w:val="868"/>
        </w:trPr>
        <w:tc>
          <w:tcPr>
            <w:tcW w:w="914" w:type="dxa"/>
            <w:vMerge/>
            <w:shd w:val="pct5" w:color="auto" w:fill="auto"/>
            <w:vAlign w:val="center"/>
          </w:tcPr>
          <w:p w:rsidR="00DD5155" w:rsidRPr="00D51D13" w:rsidRDefault="00DD5155" w:rsidP="00007B3B">
            <w:pPr>
              <w:spacing w:after="0"/>
              <w:ind w:left="113" w:right="113"/>
              <w:jc w:val="center"/>
              <w:rPr>
                <w:rFonts w:cs="Arial"/>
              </w:rPr>
            </w:pPr>
          </w:p>
        </w:tc>
        <w:tc>
          <w:tcPr>
            <w:tcW w:w="2025" w:type="dxa"/>
            <w:tcBorders>
              <w:top w:val="dotted" w:sz="4" w:space="0" w:color="auto"/>
              <w:bottom w:val="single"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b/>
                <w:sz w:val="20"/>
                <w:szCs w:val="20"/>
              </w:rPr>
            </w:pPr>
            <w:hyperlink r:id="rId11" w:tooltip="SULPIRIDE" w:history="1">
              <w:r w:rsidR="00DD5155" w:rsidRPr="00D51D13">
                <w:rPr>
                  <w:rFonts w:eastAsia="Times New Roman" w:cs="Arial"/>
                  <w:b/>
                  <w:sz w:val="20"/>
                  <w:szCs w:val="20"/>
                </w:rPr>
                <w:t>Sulpiride</w:t>
              </w:r>
            </w:hyperlink>
          </w:p>
          <w:p w:rsidR="00DD5155" w:rsidRPr="00D51D13" w:rsidRDefault="00DD5155" w:rsidP="00DD5155">
            <w:pPr>
              <w:spacing w:after="0"/>
              <w:jc w:val="left"/>
              <w:rPr>
                <w:rFonts w:cs="Arial"/>
                <w:sz w:val="20"/>
                <w:szCs w:val="20"/>
              </w:rPr>
            </w:pPr>
            <w:r w:rsidRPr="00D51D13">
              <w:rPr>
                <w:rFonts w:cs="Arial"/>
                <w:sz w:val="20"/>
                <w:szCs w:val="20"/>
              </w:rPr>
              <w:t>(benzamide)</w:t>
            </w:r>
          </w:p>
        </w:tc>
        <w:tc>
          <w:tcPr>
            <w:tcW w:w="2272"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D</w:t>
            </w:r>
            <w:r w:rsidR="00E75442">
              <w:rPr>
                <w:rFonts w:cs="Arial"/>
                <w:sz w:val="20"/>
                <w:szCs w:val="20"/>
                <w:vertAlign w:val="subscript"/>
              </w:rPr>
              <w:t>2</w:t>
            </w:r>
            <w:r w:rsidR="00E75442">
              <w:rPr>
                <w:rFonts w:cs="Arial"/>
                <w:sz w:val="20"/>
                <w:szCs w:val="20"/>
              </w:rPr>
              <w:t>,</w:t>
            </w:r>
            <w:r w:rsidRPr="00D51D13">
              <w:rPr>
                <w:rFonts w:cs="Arial"/>
                <w:sz w:val="20"/>
                <w:szCs w:val="20"/>
                <w:vertAlign w:val="subscript"/>
              </w:rPr>
              <w:t>3</w:t>
            </w:r>
            <w:r w:rsidRPr="00D51D13">
              <w:rPr>
                <w:rFonts w:cs="Arial"/>
                <w:sz w:val="20"/>
                <w:szCs w:val="20"/>
              </w:rPr>
              <w:t xml:space="preserve"> antagonist</w:t>
            </w:r>
          </w:p>
        </w:tc>
        <w:tc>
          <w:tcPr>
            <w:tcW w:w="212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DD5155" w:rsidRPr="00D51D13" w:rsidRDefault="00DD5155" w:rsidP="00E75442">
            <w:pPr>
              <w:spacing w:after="0"/>
              <w:jc w:val="left"/>
              <w:rPr>
                <w:rFonts w:cs="Arial"/>
                <w:sz w:val="20"/>
                <w:szCs w:val="20"/>
              </w:rPr>
            </w:pPr>
            <w:r w:rsidRPr="00D51D13">
              <w:rPr>
                <w:rFonts w:cs="Arial"/>
                <w:sz w:val="20"/>
                <w:szCs w:val="20"/>
              </w:rPr>
              <w:t>Can aggravate agitated or aggressive patients</w:t>
            </w:r>
          </w:p>
        </w:tc>
        <w:tc>
          <w:tcPr>
            <w:tcW w:w="2759" w:type="dxa"/>
            <w:tcBorders>
              <w:top w:val="dotted" w:sz="4" w:space="0" w:color="auto"/>
              <w:left w:val="dotted" w:sz="4" w:space="0" w:color="auto"/>
              <w:bottom w:val="single" w:sz="4" w:space="0" w:color="auto"/>
            </w:tcBorders>
            <w:shd w:val="clear" w:color="auto" w:fill="FFFFFF" w:themeFill="background1"/>
            <w:vAlign w:val="center"/>
          </w:tcPr>
          <w:p w:rsidR="00DD5155" w:rsidRDefault="00142F10" w:rsidP="00DD5155">
            <w:pPr>
              <w:spacing w:after="0"/>
              <w:jc w:val="left"/>
              <w:rPr>
                <w:rFonts w:cs="Arial"/>
                <w:sz w:val="20"/>
                <w:szCs w:val="20"/>
              </w:rPr>
            </w:pPr>
            <w:r>
              <w:rPr>
                <w:rFonts w:cs="Arial"/>
                <w:sz w:val="20"/>
                <w:szCs w:val="20"/>
              </w:rPr>
              <w:t>Fewer EPS</w:t>
            </w:r>
          </w:p>
          <w:p w:rsidR="00142F10" w:rsidRDefault="00142F10" w:rsidP="00DD5155">
            <w:pPr>
              <w:spacing w:after="0"/>
              <w:jc w:val="left"/>
              <w:rPr>
                <w:rFonts w:cs="Arial"/>
                <w:sz w:val="20"/>
                <w:szCs w:val="20"/>
              </w:rPr>
            </w:pPr>
            <w:r>
              <w:rPr>
                <w:rFonts w:cs="Arial"/>
                <w:sz w:val="20"/>
                <w:szCs w:val="20"/>
              </w:rPr>
              <w:t>Less weight gain</w:t>
            </w:r>
          </w:p>
          <w:p w:rsidR="00142F10" w:rsidRPr="00D51D13" w:rsidRDefault="00142F10" w:rsidP="00DD5155">
            <w:pPr>
              <w:spacing w:after="0"/>
              <w:jc w:val="left"/>
              <w:rPr>
                <w:rFonts w:cs="Arial"/>
                <w:sz w:val="20"/>
                <w:szCs w:val="20"/>
              </w:rPr>
            </w:pPr>
            <w:r>
              <w:rPr>
                <w:rFonts w:cs="Arial"/>
                <w:sz w:val="20"/>
                <w:szCs w:val="20"/>
              </w:rPr>
              <w:t>No effect on blood pressure</w:t>
            </w:r>
          </w:p>
        </w:tc>
      </w:tr>
      <w:tr w:rsidR="00DD5155" w:rsidRPr="00D51D13" w:rsidTr="0086254C">
        <w:trPr>
          <w:cantSplit/>
          <w:trHeight w:val="680"/>
        </w:trPr>
        <w:tc>
          <w:tcPr>
            <w:tcW w:w="914" w:type="dxa"/>
            <w:vMerge w:val="restart"/>
            <w:shd w:val="pct5" w:color="auto" w:fill="auto"/>
            <w:textDirection w:val="btLr"/>
            <w:vAlign w:val="center"/>
          </w:tcPr>
          <w:p w:rsidR="00DD5155" w:rsidRPr="00D51D13" w:rsidRDefault="000C4350" w:rsidP="00007B3B">
            <w:pPr>
              <w:spacing w:after="0"/>
              <w:ind w:left="113" w:right="113"/>
              <w:jc w:val="center"/>
              <w:rPr>
                <w:rFonts w:cs="Arial"/>
                <w:b/>
              </w:rPr>
            </w:pPr>
            <w:r>
              <w:rPr>
                <w:rFonts w:cs="Arial"/>
                <w:b/>
              </w:rPr>
              <w:t>SGAs</w:t>
            </w:r>
          </w:p>
        </w:tc>
        <w:tc>
          <w:tcPr>
            <w:tcW w:w="2025" w:type="dxa"/>
            <w:tcBorders>
              <w:top w:val="single" w:sz="4" w:space="0" w:color="auto"/>
              <w:bottom w:val="dotted"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b/>
                <w:sz w:val="20"/>
                <w:szCs w:val="20"/>
              </w:rPr>
            </w:pPr>
            <w:hyperlink r:id="rId12" w:tooltip="AMISULPRIDE" w:history="1">
              <w:r w:rsidR="00DD5155" w:rsidRPr="00D51D13">
                <w:rPr>
                  <w:rFonts w:eastAsia="Times New Roman" w:cs="Arial"/>
                  <w:b/>
                  <w:sz w:val="20"/>
                  <w:szCs w:val="20"/>
                </w:rPr>
                <w:t>Amisulpride</w:t>
              </w:r>
            </w:hyperlink>
          </w:p>
          <w:p w:rsidR="00DD5155" w:rsidRPr="00D51D13" w:rsidRDefault="00DD5155" w:rsidP="00DD5155">
            <w:pPr>
              <w:spacing w:after="0"/>
              <w:jc w:val="left"/>
              <w:rPr>
                <w:rFonts w:cs="Arial"/>
                <w:sz w:val="20"/>
                <w:szCs w:val="20"/>
              </w:rPr>
            </w:pPr>
            <w:r w:rsidRPr="00D51D13">
              <w:rPr>
                <w:rFonts w:cs="Arial"/>
                <w:sz w:val="20"/>
                <w:szCs w:val="20"/>
              </w:rPr>
              <w:t>(benzamide)</w:t>
            </w:r>
          </w:p>
        </w:tc>
        <w:tc>
          <w:tcPr>
            <w:tcW w:w="227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 xml:space="preserve">2 </w:t>
            </w:r>
            <w:r w:rsidRPr="00D51D13">
              <w:rPr>
                <w:rFonts w:cs="Arial"/>
                <w:sz w:val="20"/>
                <w:szCs w:val="20"/>
              </w:rPr>
              <w:t>&amp; D</w:t>
            </w:r>
            <w:r w:rsidRPr="00D51D13">
              <w:rPr>
                <w:rFonts w:cs="Arial"/>
                <w:sz w:val="20"/>
                <w:szCs w:val="20"/>
                <w:vertAlign w:val="subscript"/>
              </w:rPr>
              <w:t>3</w:t>
            </w:r>
            <w:r w:rsidRPr="00D51D13">
              <w:rPr>
                <w:rFonts w:cs="Arial"/>
                <w:sz w:val="20"/>
                <w:szCs w:val="20"/>
              </w:rPr>
              <w:t xml:space="preserve"> receptor antagonist</w:t>
            </w:r>
          </w:p>
          <w:p w:rsidR="00DD5155" w:rsidRPr="00D51D13" w:rsidRDefault="00DD5155" w:rsidP="00DD5155">
            <w:pPr>
              <w:spacing w:after="0"/>
              <w:jc w:val="left"/>
              <w:rPr>
                <w:rFonts w:cs="Arial"/>
                <w:sz w:val="20"/>
                <w:szCs w:val="20"/>
              </w:rPr>
            </w:pPr>
            <w:r w:rsidRPr="00D51D13">
              <w:rPr>
                <w:rFonts w:cs="Arial"/>
                <w:sz w:val="20"/>
                <w:szCs w:val="20"/>
              </w:rPr>
              <w:t>5-HT</w:t>
            </w:r>
            <w:r w:rsidRPr="00D51D13">
              <w:rPr>
                <w:rFonts w:cs="Arial"/>
                <w:sz w:val="20"/>
                <w:szCs w:val="20"/>
                <w:vertAlign w:val="subscript"/>
              </w:rPr>
              <w:t>7</w:t>
            </w:r>
            <w:r w:rsidRPr="00D51D13">
              <w:rPr>
                <w:rFonts w:cs="Arial"/>
                <w:sz w:val="20"/>
                <w:szCs w:val="20"/>
              </w:rPr>
              <w:t xml:space="preserve"> receptor antagonist</w:t>
            </w:r>
          </w:p>
        </w:tc>
        <w:tc>
          <w:tcPr>
            <w:tcW w:w="212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Pr>
                <w:rFonts w:cs="Arial"/>
                <w:sz w:val="20"/>
                <w:szCs w:val="20"/>
              </w:rPr>
              <w:t>Hyperprolactinaemia</w:t>
            </w:r>
          </w:p>
        </w:tc>
        <w:tc>
          <w:tcPr>
            <w:tcW w:w="2759" w:type="dxa"/>
            <w:tcBorders>
              <w:top w:val="single" w:sz="4" w:space="0" w:color="auto"/>
              <w:left w:val="dotted" w:sz="4" w:space="0" w:color="auto"/>
              <w:bottom w:val="dotted" w:sz="4" w:space="0" w:color="auto"/>
            </w:tcBorders>
            <w:shd w:val="clear" w:color="auto" w:fill="FFFFFF" w:themeFill="background1"/>
            <w:vAlign w:val="center"/>
          </w:tcPr>
          <w:p w:rsidR="00DD5155" w:rsidRDefault="00DD5155" w:rsidP="00DD5155">
            <w:pPr>
              <w:spacing w:after="0"/>
              <w:jc w:val="left"/>
              <w:rPr>
                <w:rFonts w:cs="Arial"/>
                <w:sz w:val="20"/>
                <w:szCs w:val="20"/>
              </w:rPr>
            </w:pPr>
            <w:r>
              <w:rPr>
                <w:rFonts w:cs="Arial"/>
                <w:sz w:val="20"/>
                <w:szCs w:val="20"/>
              </w:rPr>
              <w:t>Minimal anticholinergic activity</w:t>
            </w:r>
          </w:p>
          <w:p w:rsidR="00142F10" w:rsidRPr="00D51D13" w:rsidRDefault="00142F10" w:rsidP="00DD5155">
            <w:pPr>
              <w:spacing w:after="0"/>
              <w:jc w:val="left"/>
              <w:rPr>
                <w:rFonts w:cs="Arial"/>
                <w:sz w:val="20"/>
                <w:szCs w:val="20"/>
              </w:rPr>
            </w:pPr>
            <w:r>
              <w:rPr>
                <w:rFonts w:cs="Arial"/>
                <w:sz w:val="20"/>
                <w:szCs w:val="20"/>
              </w:rPr>
              <w:t>Less weight gain</w:t>
            </w:r>
          </w:p>
        </w:tc>
      </w:tr>
      <w:tr w:rsidR="00DD5155" w:rsidRPr="00D51D13" w:rsidTr="0086254C">
        <w:trPr>
          <w:cantSplit/>
          <w:trHeight w:val="680"/>
        </w:trPr>
        <w:tc>
          <w:tcPr>
            <w:tcW w:w="914" w:type="dxa"/>
            <w:vMerge/>
            <w:shd w:val="pct5" w:color="auto" w:fill="auto"/>
            <w:textDirection w:val="btLr"/>
            <w:vAlign w:val="center"/>
          </w:tcPr>
          <w:p w:rsidR="00DD5155" w:rsidRPr="00D51D13" w:rsidRDefault="00DD5155" w:rsidP="00DD5155">
            <w:pPr>
              <w:ind w:left="113" w:right="113"/>
              <w:jc w:val="center"/>
              <w:rPr>
                <w:rFonts w:cs="Arial"/>
                <w:b/>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2C65A3" w:rsidRDefault="00DD5155" w:rsidP="00DD5155">
            <w:pPr>
              <w:spacing w:after="0"/>
              <w:jc w:val="left"/>
              <w:rPr>
                <w:rFonts w:cs="Arial"/>
                <w:b/>
                <w:sz w:val="20"/>
                <w:szCs w:val="20"/>
              </w:rPr>
            </w:pPr>
            <w:r w:rsidRPr="002C65A3">
              <w:rPr>
                <w:rFonts w:cs="Arial"/>
                <w:b/>
                <w:sz w:val="20"/>
                <w:szCs w:val="20"/>
              </w:rPr>
              <w:t>Aripiprazole</w:t>
            </w:r>
          </w:p>
          <w:p w:rsidR="00DD5155" w:rsidRPr="00D51D13" w:rsidRDefault="00DD5155" w:rsidP="00DD5155">
            <w:pPr>
              <w:spacing w:after="0"/>
              <w:jc w:val="left"/>
              <w:rPr>
                <w:rFonts w:cs="Arial"/>
                <w:sz w:val="20"/>
                <w:szCs w:val="20"/>
              </w:rPr>
            </w:pPr>
            <w:r>
              <w:rPr>
                <w:rFonts w:cs="Arial"/>
                <w:sz w:val="20"/>
                <w:szCs w:val="20"/>
              </w:rPr>
              <w:t>(</w:t>
            </w:r>
            <w:r w:rsidR="004D51D4">
              <w:rPr>
                <w:rFonts w:cs="Arial"/>
                <w:sz w:val="20"/>
                <w:szCs w:val="20"/>
              </w:rPr>
              <w:t>phenyl</w:t>
            </w:r>
            <w:r>
              <w:rPr>
                <w:rFonts w:cs="Arial"/>
                <w:sz w:val="20"/>
                <w:szCs w:val="20"/>
              </w:rPr>
              <w:t>piperazine)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Default="00DD5155" w:rsidP="00DD5155">
            <w:pPr>
              <w:spacing w:after="0"/>
              <w:jc w:val="left"/>
              <w:rPr>
                <w:rFonts w:cs="Arial"/>
                <w:sz w:val="20"/>
                <w:szCs w:val="20"/>
              </w:rPr>
            </w:pPr>
            <w:r>
              <w:rPr>
                <w:rFonts w:cs="Arial"/>
                <w:sz w:val="20"/>
                <w:szCs w:val="20"/>
              </w:rPr>
              <w:t>D</w:t>
            </w:r>
            <w:r>
              <w:rPr>
                <w:rFonts w:cs="Arial"/>
                <w:sz w:val="20"/>
                <w:szCs w:val="20"/>
                <w:vertAlign w:val="subscript"/>
              </w:rPr>
              <w:t>2</w:t>
            </w:r>
            <w:r>
              <w:rPr>
                <w:rFonts w:cs="Arial"/>
                <w:sz w:val="20"/>
                <w:szCs w:val="20"/>
              </w:rPr>
              <w:t xml:space="preserve"> &amp; 5-HT</w:t>
            </w:r>
            <w:r>
              <w:rPr>
                <w:rFonts w:cs="Arial"/>
                <w:sz w:val="20"/>
                <w:szCs w:val="20"/>
                <w:vertAlign w:val="subscript"/>
              </w:rPr>
              <w:t>1A</w:t>
            </w:r>
            <w:r>
              <w:rPr>
                <w:rFonts w:cs="Arial"/>
                <w:sz w:val="20"/>
                <w:szCs w:val="20"/>
              </w:rPr>
              <w:t xml:space="preserve"> partial agonist</w:t>
            </w:r>
          </w:p>
          <w:p w:rsidR="00DD5155" w:rsidRPr="002C65A3" w:rsidRDefault="00DD5155" w:rsidP="00DD5155">
            <w:pPr>
              <w:spacing w:after="0"/>
              <w:jc w:val="left"/>
              <w:rPr>
                <w:rFonts w:cs="Arial"/>
                <w:sz w:val="20"/>
                <w:szCs w:val="20"/>
              </w:rPr>
            </w:pPr>
            <w:r w:rsidRPr="00D51D13">
              <w:rPr>
                <w:rFonts w:cs="Arial"/>
                <w:sz w:val="20"/>
                <w:szCs w:val="20"/>
              </w:rPr>
              <w:t>5-HT</w:t>
            </w:r>
            <w:r w:rsidRPr="00D51D13">
              <w:rPr>
                <w:rFonts w:cs="Arial"/>
                <w:sz w:val="20"/>
                <w:szCs w:val="20"/>
                <w:vertAlign w:val="subscript"/>
              </w:rPr>
              <w:t>2</w:t>
            </w:r>
            <w:r w:rsidRPr="00D51D13">
              <w:rPr>
                <w:rFonts w:cs="Arial"/>
                <w:sz w:val="20"/>
                <w:szCs w:val="20"/>
              </w:rPr>
              <w:t xml:space="preserve"> 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Default="00007B3B" w:rsidP="00007B3B">
            <w:pPr>
              <w:spacing w:after="0"/>
              <w:jc w:val="left"/>
              <w:rPr>
                <w:rFonts w:cs="Arial"/>
                <w:sz w:val="20"/>
                <w:szCs w:val="20"/>
              </w:rPr>
            </w:pPr>
            <w:r>
              <w:rPr>
                <w:rFonts w:cs="Arial"/>
                <w:sz w:val="20"/>
                <w:szCs w:val="20"/>
              </w:rPr>
              <w:t>Initial a</w:t>
            </w:r>
            <w:r w:rsidR="00DD5155">
              <w:rPr>
                <w:rFonts w:cs="Arial"/>
                <w:sz w:val="20"/>
                <w:szCs w:val="20"/>
              </w:rPr>
              <w:t>kathisia</w:t>
            </w:r>
          </w:p>
          <w:p w:rsidR="009E72A5" w:rsidRPr="00D51D13" w:rsidRDefault="009E72A5" w:rsidP="00007B3B">
            <w:pPr>
              <w:spacing w:after="0"/>
              <w:jc w:val="left"/>
              <w:rPr>
                <w:rFonts w:cs="Arial"/>
                <w:sz w:val="20"/>
                <w:szCs w:val="20"/>
              </w:rPr>
            </w:pPr>
            <w:r>
              <w:rPr>
                <w:rFonts w:cs="Arial"/>
                <w:sz w:val="20"/>
                <w:szCs w:val="20"/>
              </w:rPr>
              <w:t>Nausea</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Pr>
                <w:rFonts w:cs="Arial"/>
                <w:sz w:val="20"/>
                <w:szCs w:val="20"/>
              </w:rPr>
              <w:t>Low incidence of Parkinsonism, hyperprolactinaemia &amp; metabolic problems</w:t>
            </w:r>
          </w:p>
        </w:tc>
      </w:tr>
      <w:tr w:rsidR="00DD5155" w:rsidRPr="00D51D13" w:rsidTr="0086254C">
        <w:trPr>
          <w:cantSplit/>
          <w:trHeight w:val="603"/>
        </w:trPr>
        <w:tc>
          <w:tcPr>
            <w:tcW w:w="914" w:type="dxa"/>
            <w:vMerge/>
            <w:shd w:val="pct5" w:color="auto" w:fill="auto"/>
            <w:vAlign w:val="center"/>
          </w:tcPr>
          <w:p w:rsidR="00DD5155" w:rsidRPr="00D51D13" w:rsidRDefault="00DD5155" w:rsidP="00DD5155">
            <w:pPr>
              <w:ind w:left="113" w:right="113"/>
              <w:rPr>
                <w:rFonts w:cs="Arial"/>
                <w:b/>
                <w:sz w:val="24"/>
                <w:szCs w:val="24"/>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sz w:val="20"/>
                <w:szCs w:val="20"/>
              </w:rPr>
            </w:pPr>
            <w:hyperlink r:id="rId13" w:tooltip="CLOZAPINE" w:history="1">
              <w:r w:rsidR="00DD5155" w:rsidRPr="00D51D13">
                <w:rPr>
                  <w:rFonts w:eastAsia="Times New Roman" w:cs="Arial"/>
                  <w:b/>
                  <w:sz w:val="20"/>
                  <w:szCs w:val="20"/>
                </w:rPr>
                <w:t>Clozapine</w:t>
              </w:r>
            </w:hyperlink>
          </w:p>
          <w:p w:rsidR="00DD5155" w:rsidRPr="00D51D13" w:rsidRDefault="00DD5155" w:rsidP="00DD5155">
            <w:pPr>
              <w:spacing w:after="0"/>
              <w:jc w:val="left"/>
              <w:rPr>
                <w:rFonts w:eastAsia="Times New Roman" w:cs="Arial"/>
                <w:b/>
                <w:sz w:val="20"/>
                <w:szCs w:val="20"/>
              </w:rPr>
            </w:pPr>
            <w:r w:rsidRPr="00D51D13">
              <w:rPr>
                <w:rFonts w:cs="Arial"/>
                <w:sz w:val="20"/>
                <w:szCs w:val="20"/>
              </w:rPr>
              <w:t>(Dibenzodiazepine)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5-HT</w:t>
            </w:r>
            <w:r w:rsidRPr="00D51D13">
              <w:rPr>
                <w:rFonts w:cs="Arial"/>
                <w:sz w:val="20"/>
                <w:szCs w:val="20"/>
                <w:vertAlign w:val="subscript"/>
              </w:rPr>
              <w:t>2A</w:t>
            </w:r>
            <w:r w:rsidR="00007B3B">
              <w:rPr>
                <w:rFonts w:cs="Arial"/>
                <w:sz w:val="20"/>
                <w:szCs w:val="20"/>
              </w:rPr>
              <w:t xml:space="preserve"> </w:t>
            </w:r>
            <w:r w:rsidRPr="00D51D13">
              <w:rPr>
                <w:rFonts w:cs="Arial"/>
                <w:sz w:val="20"/>
                <w:szCs w:val="20"/>
              </w:rPr>
              <w:t>antagonist</w:t>
            </w:r>
          </w:p>
          <w:p w:rsidR="00DD5155" w:rsidRPr="00D51D13" w:rsidRDefault="00DD5155" w:rsidP="00DD5155">
            <w:pPr>
              <w:spacing w:after="0"/>
              <w:jc w:val="left"/>
              <w:rPr>
                <w:rFonts w:cs="Arial"/>
                <w:sz w:val="20"/>
                <w:szCs w:val="20"/>
              </w:rPr>
            </w:pPr>
            <w:r w:rsidRPr="00D51D13">
              <w:rPr>
                <w:rFonts w:cs="Arial"/>
                <w:sz w:val="20"/>
                <w:szCs w:val="20"/>
              </w:rPr>
              <w:t>M</w:t>
            </w:r>
            <w:r w:rsidRPr="00D51D13">
              <w:rPr>
                <w:rFonts w:cs="Arial"/>
                <w:sz w:val="20"/>
                <w:szCs w:val="20"/>
                <w:vertAlign w:val="subscript"/>
              </w:rPr>
              <w:t>1,2</w:t>
            </w:r>
            <w:r w:rsidRPr="00D51D13">
              <w:rPr>
                <w:rFonts w:cs="Arial"/>
                <w:sz w:val="20"/>
                <w:szCs w:val="20"/>
              </w:rPr>
              <w:t xml:space="preserve"> ,H</w:t>
            </w:r>
            <w:r w:rsidRPr="00D51D13">
              <w:rPr>
                <w:rFonts w:cs="Arial"/>
                <w:sz w:val="20"/>
                <w:szCs w:val="20"/>
                <w:vertAlign w:val="subscript"/>
              </w:rPr>
              <w:t>1</w:t>
            </w:r>
            <w:r w:rsidRPr="00D51D13">
              <w:rPr>
                <w:rFonts w:cs="Arial"/>
                <w:sz w:val="20"/>
                <w:szCs w:val="20"/>
              </w:rPr>
              <w:t xml:space="preserve"> &amp; </w:t>
            </w:r>
            <w:r w:rsidRPr="00D51D13">
              <w:rPr>
                <w:rFonts w:cs="Arial"/>
                <w:sz w:val="20"/>
                <w:szCs w:val="20"/>
              </w:rPr>
              <w:sym w:font="Symbol" w:char="F061"/>
            </w:r>
            <w:r w:rsidRPr="00D51D13">
              <w:rPr>
                <w:rFonts w:cs="Arial"/>
                <w:sz w:val="20"/>
                <w:szCs w:val="20"/>
              </w:rPr>
              <w:t xml:space="preserve"> antagonist</w:t>
            </w:r>
          </w:p>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4</w:t>
            </w:r>
            <w:r w:rsidRPr="00D51D13">
              <w:rPr>
                <w:rFonts w:cs="Arial"/>
                <w:sz w:val="20"/>
                <w:szCs w:val="20"/>
              </w:rPr>
              <w:t xml:space="preserve"> 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Default="00DD5155" w:rsidP="00DD5155">
            <w:pPr>
              <w:spacing w:after="0"/>
              <w:jc w:val="left"/>
              <w:rPr>
                <w:rFonts w:cs="Arial"/>
                <w:sz w:val="20"/>
                <w:szCs w:val="20"/>
              </w:rPr>
            </w:pPr>
            <w:r>
              <w:rPr>
                <w:rFonts w:cs="Arial"/>
                <w:sz w:val="20"/>
                <w:szCs w:val="20"/>
              </w:rPr>
              <w:t>Agranulocytosis</w:t>
            </w:r>
          </w:p>
          <w:p w:rsidR="00DD5155" w:rsidRPr="00D51D13" w:rsidRDefault="00DD5155" w:rsidP="00DD5155">
            <w:pPr>
              <w:spacing w:after="0"/>
              <w:jc w:val="left"/>
              <w:rPr>
                <w:rFonts w:cs="Arial"/>
                <w:sz w:val="20"/>
                <w:szCs w:val="20"/>
              </w:rPr>
            </w:pPr>
            <w:r>
              <w:rPr>
                <w:rFonts w:cs="Arial"/>
                <w:sz w:val="20"/>
                <w:szCs w:val="20"/>
              </w:rPr>
              <w:t>F</w:t>
            </w:r>
            <w:r w:rsidRPr="00D51D13">
              <w:rPr>
                <w:rFonts w:cs="Arial"/>
                <w:sz w:val="20"/>
                <w:szCs w:val="20"/>
              </w:rPr>
              <w:t>atal myocarditis, tachycardia, hyperglycaemia</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Default="00DD5155" w:rsidP="00DD5155">
            <w:pPr>
              <w:spacing w:after="0"/>
              <w:jc w:val="left"/>
              <w:rPr>
                <w:rFonts w:cs="Arial"/>
                <w:sz w:val="20"/>
                <w:szCs w:val="20"/>
              </w:rPr>
            </w:pPr>
            <w:r w:rsidRPr="00D51D13">
              <w:rPr>
                <w:rFonts w:cs="Arial"/>
                <w:sz w:val="20"/>
                <w:szCs w:val="20"/>
              </w:rPr>
              <w:t>The most effective antipsychotic but only used as a last resort</w:t>
            </w:r>
          </w:p>
          <w:p w:rsidR="00DD5155" w:rsidRPr="00D51D13" w:rsidRDefault="00DD5155" w:rsidP="00DD5155">
            <w:pPr>
              <w:spacing w:after="0"/>
              <w:jc w:val="left"/>
              <w:rPr>
                <w:rFonts w:cs="Arial"/>
                <w:sz w:val="20"/>
                <w:szCs w:val="20"/>
              </w:rPr>
            </w:pPr>
            <w:r>
              <w:rPr>
                <w:rFonts w:cs="Arial"/>
                <w:sz w:val="20"/>
                <w:szCs w:val="20"/>
              </w:rPr>
              <w:t>Low incidence of EPS</w:t>
            </w:r>
          </w:p>
        </w:tc>
      </w:tr>
      <w:tr w:rsidR="00DD5155" w:rsidRPr="00D51D13" w:rsidTr="0086254C">
        <w:trPr>
          <w:cantSplit/>
          <w:trHeight w:val="770"/>
        </w:trPr>
        <w:tc>
          <w:tcPr>
            <w:tcW w:w="914" w:type="dxa"/>
            <w:vMerge/>
            <w:shd w:val="pct5" w:color="auto" w:fill="auto"/>
            <w:textDirection w:val="btLr"/>
            <w:vAlign w:val="center"/>
          </w:tcPr>
          <w:p w:rsidR="00DD5155" w:rsidRPr="00D51D13" w:rsidRDefault="00DD5155" w:rsidP="00DD5155">
            <w:pPr>
              <w:ind w:left="113" w:right="113"/>
              <w:rPr>
                <w:rFonts w:cs="Arial"/>
                <w:b/>
                <w:sz w:val="28"/>
                <w:szCs w:val="28"/>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sz w:val="20"/>
                <w:szCs w:val="20"/>
              </w:rPr>
            </w:pPr>
            <w:hyperlink r:id="rId14" w:tooltip="OLANZAPINE" w:history="1">
              <w:r w:rsidR="00DD5155" w:rsidRPr="00D51D13">
                <w:rPr>
                  <w:rFonts w:eastAsia="Times New Roman" w:cs="Arial"/>
                  <w:b/>
                  <w:sz w:val="20"/>
                  <w:szCs w:val="20"/>
                </w:rPr>
                <w:t>Olanzapine</w:t>
              </w:r>
            </w:hyperlink>
          </w:p>
          <w:p w:rsidR="00DD5155" w:rsidRPr="00D51D13" w:rsidRDefault="00DD5155" w:rsidP="00DD5155">
            <w:pPr>
              <w:spacing w:after="0"/>
              <w:jc w:val="left"/>
              <w:rPr>
                <w:rFonts w:cs="Arial"/>
                <w:b/>
                <w:sz w:val="20"/>
                <w:szCs w:val="20"/>
              </w:rPr>
            </w:pPr>
            <w:r w:rsidRPr="00D51D13">
              <w:rPr>
                <w:rFonts w:cs="Arial"/>
                <w:sz w:val="20"/>
                <w:szCs w:val="20"/>
              </w:rPr>
              <w:t>(Dibenzodiazepine)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5-HT</w:t>
            </w:r>
            <w:r w:rsidRPr="00D51D13">
              <w:rPr>
                <w:rFonts w:cs="Arial"/>
                <w:sz w:val="20"/>
                <w:szCs w:val="20"/>
                <w:vertAlign w:val="subscript"/>
              </w:rPr>
              <w:t>2</w:t>
            </w:r>
            <w:r w:rsidRPr="00D51D13">
              <w:rPr>
                <w:rFonts w:cs="Arial"/>
                <w:sz w:val="20"/>
                <w:szCs w:val="20"/>
              </w:rPr>
              <w:t xml:space="preserve"> antagonist</w:t>
            </w:r>
          </w:p>
          <w:p w:rsidR="00DD5155" w:rsidRPr="00D51D13" w:rsidRDefault="00DD5155" w:rsidP="00DD5155">
            <w:pPr>
              <w:spacing w:after="0"/>
              <w:jc w:val="left"/>
              <w:rPr>
                <w:rFonts w:cs="Arial"/>
                <w:sz w:val="20"/>
                <w:szCs w:val="20"/>
              </w:rPr>
            </w:pPr>
            <w:r w:rsidRPr="00D51D13">
              <w:rPr>
                <w:rFonts w:cs="Arial"/>
                <w:sz w:val="20"/>
                <w:szCs w:val="20"/>
              </w:rPr>
              <w:t>M</w:t>
            </w:r>
            <w:r w:rsidRPr="00D51D13">
              <w:rPr>
                <w:rFonts w:cs="Arial"/>
                <w:sz w:val="20"/>
                <w:szCs w:val="20"/>
                <w:vertAlign w:val="subscript"/>
              </w:rPr>
              <w:t xml:space="preserve">1 </w:t>
            </w:r>
            <w:r w:rsidRPr="00D51D13">
              <w:rPr>
                <w:rFonts w:cs="Arial"/>
                <w:sz w:val="20"/>
                <w:szCs w:val="20"/>
              </w:rPr>
              <w:t>antagonist</w:t>
            </w:r>
          </w:p>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 xml:space="preserve">1 </w:t>
            </w:r>
            <w:r w:rsidRPr="00D51D13">
              <w:rPr>
                <w:rFonts w:cs="Arial"/>
                <w:sz w:val="20"/>
                <w:szCs w:val="20"/>
              </w:rPr>
              <w:t>&amp; D</w:t>
            </w:r>
            <w:r w:rsidRPr="00D51D13">
              <w:rPr>
                <w:rFonts w:cs="Arial"/>
                <w:sz w:val="20"/>
                <w:szCs w:val="20"/>
                <w:vertAlign w:val="subscript"/>
              </w:rPr>
              <w:t>1</w:t>
            </w:r>
            <w:r w:rsidR="00007B3B">
              <w:rPr>
                <w:rFonts w:cs="Arial"/>
                <w:sz w:val="20"/>
                <w:szCs w:val="20"/>
              </w:rPr>
              <w:t xml:space="preserve"> receptor</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2A3524" w:rsidP="00DD5155">
            <w:pPr>
              <w:spacing w:after="0"/>
              <w:jc w:val="left"/>
              <w:rPr>
                <w:rFonts w:cs="Arial"/>
                <w:sz w:val="20"/>
                <w:szCs w:val="20"/>
              </w:rPr>
            </w:pPr>
            <w:r>
              <w:rPr>
                <w:rFonts w:cs="Arial"/>
                <w:sz w:val="20"/>
                <w:szCs w:val="20"/>
              </w:rPr>
              <w:t>Significant weight &amp; metabolic concerns</w:t>
            </w:r>
            <w:r w:rsidR="00DD5155" w:rsidRPr="00D51D13">
              <w:rPr>
                <w:rFonts w:cs="Arial"/>
                <w:sz w:val="20"/>
                <w:szCs w:val="20"/>
              </w:rPr>
              <w:t xml:space="preserve"> </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DD5155" w:rsidRDefault="002A3524" w:rsidP="00DD5155">
            <w:pPr>
              <w:spacing w:after="0"/>
              <w:jc w:val="left"/>
              <w:rPr>
                <w:rFonts w:cs="Arial"/>
                <w:sz w:val="20"/>
                <w:szCs w:val="20"/>
              </w:rPr>
            </w:pPr>
            <w:r>
              <w:rPr>
                <w:rFonts w:cs="Arial"/>
                <w:sz w:val="20"/>
                <w:szCs w:val="20"/>
              </w:rPr>
              <w:t>Has a low rate of discontinuation</w:t>
            </w:r>
          </w:p>
          <w:p w:rsidR="002A3524" w:rsidRPr="00D51D13" w:rsidRDefault="002A3524" w:rsidP="00DD5155">
            <w:pPr>
              <w:spacing w:after="0"/>
              <w:jc w:val="left"/>
              <w:rPr>
                <w:rFonts w:cs="Arial"/>
                <w:sz w:val="20"/>
                <w:szCs w:val="20"/>
              </w:rPr>
            </w:pPr>
            <w:r>
              <w:rPr>
                <w:rFonts w:cs="Arial"/>
                <w:sz w:val="20"/>
                <w:szCs w:val="20"/>
              </w:rPr>
              <w:t>Depot preparation</w:t>
            </w:r>
          </w:p>
        </w:tc>
      </w:tr>
      <w:tr w:rsidR="00DD5155" w:rsidRPr="00D51D13" w:rsidTr="00D16781">
        <w:trPr>
          <w:cantSplit/>
          <w:trHeight w:val="580"/>
        </w:trPr>
        <w:tc>
          <w:tcPr>
            <w:tcW w:w="914" w:type="dxa"/>
            <w:vMerge/>
            <w:shd w:val="pct5" w:color="auto" w:fill="auto"/>
            <w:vAlign w:val="center"/>
          </w:tcPr>
          <w:p w:rsidR="00DD5155" w:rsidRPr="00D51D13" w:rsidRDefault="00DD5155" w:rsidP="00DD5155">
            <w:pPr>
              <w:rPr>
                <w:rFonts w:cs="Arial"/>
              </w:rPr>
            </w:pPr>
          </w:p>
        </w:tc>
        <w:tc>
          <w:tcPr>
            <w:tcW w:w="2025" w:type="dxa"/>
            <w:tcBorders>
              <w:top w:val="dotted" w:sz="4" w:space="0" w:color="auto"/>
              <w:bottom w:val="dotted" w:sz="4" w:space="0" w:color="auto"/>
              <w:right w:val="dotted" w:sz="4" w:space="0" w:color="auto"/>
            </w:tcBorders>
            <w:shd w:val="clear" w:color="auto" w:fill="FFFFFF" w:themeFill="background1"/>
            <w:vAlign w:val="center"/>
          </w:tcPr>
          <w:p w:rsidR="00DD5155" w:rsidRDefault="00DD5155" w:rsidP="00DD5155">
            <w:pPr>
              <w:spacing w:after="0"/>
              <w:jc w:val="left"/>
              <w:rPr>
                <w:rFonts w:eastAsia="Times New Roman" w:cs="Arial"/>
                <w:b/>
                <w:sz w:val="20"/>
                <w:szCs w:val="20"/>
              </w:rPr>
            </w:pPr>
            <w:r w:rsidRPr="00D51D13">
              <w:rPr>
                <w:rFonts w:eastAsia="Times New Roman" w:cs="Arial"/>
                <w:b/>
                <w:sz w:val="20"/>
                <w:szCs w:val="20"/>
              </w:rPr>
              <w:t>Quetiapine</w:t>
            </w:r>
          </w:p>
          <w:p w:rsidR="004D51D4" w:rsidRPr="004D51D4" w:rsidRDefault="004D51D4" w:rsidP="00DD5155">
            <w:pPr>
              <w:spacing w:after="0"/>
              <w:jc w:val="left"/>
              <w:rPr>
                <w:rFonts w:cs="Arial"/>
                <w:sz w:val="20"/>
                <w:szCs w:val="20"/>
              </w:rPr>
            </w:pPr>
            <w:r w:rsidRPr="00D51D13">
              <w:rPr>
                <w:rFonts w:cs="Arial"/>
                <w:sz w:val="20"/>
                <w:szCs w:val="20"/>
              </w:rPr>
              <w:t>(Dibenzodiazepine)</w:t>
            </w:r>
          </w:p>
        </w:tc>
        <w:tc>
          <w:tcPr>
            <w:tcW w:w="22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5155" w:rsidRPr="00D51D13" w:rsidRDefault="00DD5155" w:rsidP="00DD5155">
            <w:pPr>
              <w:spacing w:after="0"/>
              <w:jc w:val="left"/>
              <w:rPr>
                <w:rFonts w:cs="Arial"/>
                <w:sz w:val="20"/>
                <w:szCs w:val="20"/>
              </w:rPr>
            </w:pPr>
            <w:r w:rsidRPr="00D51D13">
              <w:rPr>
                <w:rFonts w:cs="Arial"/>
                <w:sz w:val="20"/>
                <w:szCs w:val="20"/>
              </w:rPr>
              <w:t>5-HT (</w:t>
            </w:r>
            <w:r w:rsidRPr="00D51D13">
              <w:rPr>
                <w:rFonts w:cs="Arial"/>
                <w:sz w:val="20"/>
                <w:szCs w:val="20"/>
                <w:vertAlign w:val="subscript"/>
              </w:rPr>
              <w:t>1, 2 &amp; 7</w:t>
            </w:r>
            <w:r w:rsidR="00007B3B">
              <w:rPr>
                <w:rFonts w:cs="Arial"/>
                <w:sz w:val="20"/>
                <w:szCs w:val="20"/>
              </w:rPr>
              <w:t>)</w:t>
            </w:r>
            <w:r w:rsidRPr="00D51D13">
              <w:rPr>
                <w:rFonts w:cs="Arial"/>
                <w:sz w:val="20"/>
                <w:szCs w:val="20"/>
              </w:rPr>
              <w:t xml:space="preserve"> antagonist</w:t>
            </w:r>
          </w:p>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1-4</w:t>
            </w:r>
            <w:r w:rsidRPr="00D51D13">
              <w:rPr>
                <w:rFonts w:cs="Arial"/>
                <w:sz w:val="20"/>
                <w:szCs w:val="20"/>
              </w:rPr>
              <w:t>), H</w:t>
            </w:r>
            <w:r w:rsidRPr="00D51D13">
              <w:rPr>
                <w:rFonts w:cs="Arial"/>
                <w:sz w:val="20"/>
                <w:szCs w:val="20"/>
                <w:vertAlign w:val="subscript"/>
              </w:rPr>
              <w:t>1</w:t>
            </w:r>
            <w:r w:rsidRPr="00D51D13">
              <w:rPr>
                <w:rFonts w:cs="Arial"/>
                <w:sz w:val="20"/>
                <w:szCs w:val="20"/>
              </w:rPr>
              <w:t xml:space="preserve"> &amp; </w:t>
            </w:r>
            <w:r w:rsidRPr="00D51D13">
              <w:rPr>
                <w:rFonts w:cs="Arial"/>
                <w:sz w:val="20"/>
                <w:szCs w:val="20"/>
              </w:rPr>
              <w:sym w:font="Symbol" w:char="F061"/>
            </w:r>
            <w:r w:rsidRPr="00D51D13">
              <w:rPr>
                <w:rFonts w:cs="Arial"/>
                <w:sz w:val="20"/>
                <w:szCs w:val="20"/>
                <w:vertAlign w:val="subscript"/>
              </w:rPr>
              <w:t>1</w:t>
            </w:r>
            <w:r w:rsidRPr="00D51D13">
              <w:rPr>
                <w:rFonts w:cs="Arial"/>
                <w:sz w:val="20"/>
                <w:szCs w:val="20"/>
              </w:rPr>
              <w:t xml:space="preserve"> antagonist</w:t>
            </w:r>
          </w:p>
        </w:tc>
        <w:tc>
          <w:tcPr>
            <w:tcW w:w="212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2A3524" w:rsidRPr="00D51D13" w:rsidRDefault="002A3524" w:rsidP="00DD5155">
            <w:pPr>
              <w:spacing w:after="0"/>
              <w:jc w:val="left"/>
              <w:rPr>
                <w:rFonts w:cs="Arial"/>
                <w:sz w:val="20"/>
                <w:szCs w:val="20"/>
              </w:rPr>
            </w:pPr>
            <w:r>
              <w:rPr>
                <w:rFonts w:cs="Arial"/>
                <w:sz w:val="20"/>
                <w:szCs w:val="20"/>
              </w:rPr>
              <w:t>Weight gain</w:t>
            </w:r>
          </w:p>
        </w:tc>
        <w:tc>
          <w:tcPr>
            <w:tcW w:w="2759" w:type="dxa"/>
            <w:tcBorders>
              <w:top w:val="dotted" w:sz="4" w:space="0" w:color="auto"/>
              <w:left w:val="dotted" w:sz="4" w:space="0" w:color="auto"/>
              <w:bottom w:val="dotted" w:sz="4" w:space="0" w:color="auto"/>
            </w:tcBorders>
            <w:shd w:val="clear" w:color="auto" w:fill="FFFFFF" w:themeFill="background1"/>
            <w:vAlign w:val="center"/>
          </w:tcPr>
          <w:p w:rsidR="002A3524" w:rsidRDefault="002A3524" w:rsidP="002A3524">
            <w:pPr>
              <w:spacing w:after="0"/>
              <w:jc w:val="left"/>
              <w:rPr>
                <w:rFonts w:cs="Arial"/>
                <w:sz w:val="20"/>
                <w:szCs w:val="20"/>
              </w:rPr>
            </w:pPr>
            <w:r>
              <w:rPr>
                <w:rFonts w:cs="Arial"/>
                <w:sz w:val="20"/>
                <w:szCs w:val="20"/>
              </w:rPr>
              <w:t>Wide dose range</w:t>
            </w:r>
          </w:p>
          <w:p w:rsidR="00DD5155" w:rsidRPr="00D51D13" w:rsidRDefault="002A3524" w:rsidP="002A3524">
            <w:pPr>
              <w:spacing w:after="0"/>
              <w:jc w:val="left"/>
              <w:rPr>
                <w:rFonts w:cs="Arial"/>
                <w:sz w:val="20"/>
                <w:szCs w:val="20"/>
              </w:rPr>
            </w:pPr>
            <w:r>
              <w:rPr>
                <w:rFonts w:cs="Arial"/>
                <w:sz w:val="20"/>
                <w:szCs w:val="20"/>
              </w:rPr>
              <w:t>Low EPS incidence</w:t>
            </w:r>
          </w:p>
        </w:tc>
      </w:tr>
      <w:tr w:rsidR="00DD5155" w:rsidRPr="00D51D13" w:rsidTr="00D16781">
        <w:trPr>
          <w:cantSplit/>
          <w:trHeight w:val="621"/>
        </w:trPr>
        <w:tc>
          <w:tcPr>
            <w:tcW w:w="914" w:type="dxa"/>
            <w:vMerge/>
            <w:shd w:val="pct5" w:color="auto" w:fill="auto"/>
            <w:vAlign w:val="center"/>
          </w:tcPr>
          <w:p w:rsidR="00DD5155" w:rsidRPr="00D51D13" w:rsidRDefault="00DD5155" w:rsidP="00DD5155">
            <w:pPr>
              <w:rPr>
                <w:rFonts w:cs="Arial"/>
              </w:rPr>
            </w:pPr>
          </w:p>
        </w:tc>
        <w:tc>
          <w:tcPr>
            <w:tcW w:w="2025" w:type="dxa"/>
            <w:tcBorders>
              <w:top w:val="dotted" w:sz="4" w:space="0" w:color="auto"/>
              <w:bottom w:val="single" w:sz="4" w:space="0" w:color="auto"/>
              <w:right w:val="dotted" w:sz="4" w:space="0" w:color="auto"/>
            </w:tcBorders>
            <w:shd w:val="clear" w:color="auto" w:fill="FFFFFF" w:themeFill="background1"/>
            <w:vAlign w:val="center"/>
          </w:tcPr>
          <w:p w:rsidR="00DD5155" w:rsidRPr="00D51D13" w:rsidRDefault="001D1989" w:rsidP="00DD5155">
            <w:pPr>
              <w:spacing w:after="0"/>
              <w:jc w:val="left"/>
              <w:rPr>
                <w:rFonts w:cs="Arial"/>
                <w:sz w:val="20"/>
                <w:szCs w:val="20"/>
              </w:rPr>
            </w:pPr>
            <w:hyperlink r:id="rId15" w:tooltip="RISPERIDONE" w:history="1">
              <w:r w:rsidR="00DD5155" w:rsidRPr="00D51D13">
                <w:rPr>
                  <w:rFonts w:eastAsia="Times New Roman" w:cs="Arial"/>
                  <w:b/>
                  <w:sz w:val="20"/>
                  <w:szCs w:val="20"/>
                </w:rPr>
                <w:t>Risperidone</w:t>
              </w:r>
            </w:hyperlink>
          </w:p>
          <w:p w:rsidR="00DD5155" w:rsidRPr="00D51D13" w:rsidRDefault="00DD5155" w:rsidP="00DD5155">
            <w:pPr>
              <w:spacing w:after="0"/>
              <w:jc w:val="left"/>
              <w:rPr>
                <w:rFonts w:cs="Arial"/>
                <w:b/>
                <w:sz w:val="20"/>
                <w:szCs w:val="20"/>
              </w:rPr>
            </w:pPr>
            <w:r w:rsidRPr="00D51D13">
              <w:rPr>
                <w:rFonts w:cs="Arial"/>
                <w:sz w:val="20"/>
                <w:szCs w:val="20"/>
              </w:rPr>
              <w:t>(Benzisoxazole)</w:t>
            </w:r>
          </w:p>
        </w:tc>
        <w:tc>
          <w:tcPr>
            <w:tcW w:w="2272"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DD5155" w:rsidRPr="00D51D13" w:rsidRDefault="00007B3B" w:rsidP="00DD5155">
            <w:pPr>
              <w:spacing w:after="0"/>
              <w:jc w:val="left"/>
              <w:rPr>
                <w:rFonts w:cs="Arial"/>
                <w:sz w:val="20"/>
                <w:szCs w:val="20"/>
              </w:rPr>
            </w:pPr>
            <w:r>
              <w:rPr>
                <w:rFonts w:cs="Arial"/>
                <w:sz w:val="20"/>
                <w:szCs w:val="20"/>
              </w:rPr>
              <w:t>5-HT</w:t>
            </w:r>
            <w:r w:rsidR="00DD5155" w:rsidRPr="00D51D13">
              <w:rPr>
                <w:rFonts w:cs="Arial"/>
                <w:sz w:val="20"/>
                <w:szCs w:val="20"/>
              </w:rPr>
              <w:t>(</w:t>
            </w:r>
            <w:r w:rsidR="00DD5155" w:rsidRPr="00D51D13">
              <w:rPr>
                <w:rFonts w:cs="Arial"/>
                <w:sz w:val="20"/>
                <w:szCs w:val="20"/>
                <w:vertAlign w:val="subscript"/>
              </w:rPr>
              <w:t>1, 2 &amp; 7</w:t>
            </w:r>
            <w:r>
              <w:rPr>
                <w:rFonts w:cs="Arial"/>
                <w:sz w:val="20"/>
                <w:szCs w:val="20"/>
              </w:rPr>
              <w:t>)</w:t>
            </w:r>
            <w:r w:rsidR="00DD5155" w:rsidRPr="00D51D13">
              <w:rPr>
                <w:rFonts w:cs="Arial"/>
                <w:sz w:val="20"/>
                <w:szCs w:val="20"/>
              </w:rPr>
              <w:t xml:space="preserve"> antagonist</w:t>
            </w:r>
          </w:p>
          <w:p w:rsidR="00DD5155" w:rsidRPr="00D51D13" w:rsidRDefault="00DD5155" w:rsidP="00DD5155">
            <w:pPr>
              <w:spacing w:after="0"/>
              <w:jc w:val="left"/>
              <w:rPr>
                <w:rFonts w:cs="Arial"/>
                <w:sz w:val="20"/>
                <w:szCs w:val="20"/>
              </w:rPr>
            </w:pPr>
            <w:r w:rsidRPr="00D51D13">
              <w:rPr>
                <w:rFonts w:cs="Arial"/>
                <w:sz w:val="20"/>
                <w:szCs w:val="20"/>
              </w:rPr>
              <w:t>D</w:t>
            </w:r>
            <w:r w:rsidRPr="00D51D13">
              <w:rPr>
                <w:rFonts w:cs="Arial"/>
                <w:sz w:val="20"/>
                <w:szCs w:val="20"/>
                <w:vertAlign w:val="subscript"/>
              </w:rPr>
              <w:t>2</w:t>
            </w:r>
            <w:r w:rsidRPr="00D51D13">
              <w:rPr>
                <w:rFonts w:cs="Arial"/>
                <w:sz w:val="20"/>
                <w:szCs w:val="20"/>
              </w:rPr>
              <w:t>, H</w:t>
            </w:r>
            <w:r w:rsidRPr="00D51D13">
              <w:rPr>
                <w:rFonts w:cs="Arial"/>
                <w:sz w:val="20"/>
                <w:szCs w:val="20"/>
                <w:vertAlign w:val="subscript"/>
              </w:rPr>
              <w:t>1</w:t>
            </w:r>
            <w:r w:rsidRPr="00D51D13">
              <w:rPr>
                <w:rFonts w:cs="Arial"/>
                <w:sz w:val="20"/>
                <w:szCs w:val="20"/>
              </w:rPr>
              <w:t xml:space="preserve"> &amp; </w:t>
            </w:r>
            <w:r w:rsidRPr="00D51D13">
              <w:rPr>
                <w:rFonts w:cs="Arial"/>
                <w:sz w:val="20"/>
                <w:szCs w:val="20"/>
              </w:rPr>
              <w:sym w:font="Symbol" w:char="F061"/>
            </w:r>
            <w:r w:rsidRPr="00D51D13">
              <w:rPr>
                <w:rFonts w:cs="Arial"/>
                <w:sz w:val="20"/>
                <w:szCs w:val="20"/>
                <w:vertAlign w:val="subscript"/>
              </w:rPr>
              <w:t>1,2</w:t>
            </w:r>
            <w:r w:rsidRPr="00D51D13">
              <w:rPr>
                <w:rFonts w:cs="Arial"/>
                <w:sz w:val="20"/>
                <w:szCs w:val="20"/>
              </w:rPr>
              <w:t xml:space="preserve"> antagonist</w:t>
            </w:r>
          </w:p>
        </w:tc>
        <w:tc>
          <w:tcPr>
            <w:tcW w:w="212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DD5155" w:rsidRPr="00D51D13" w:rsidRDefault="002A3524" w:rsidP="00DD5155">
            <w:pPr>
              <w:spacing w:after="0"/>
              <w:jc w:val="left"/>
              <w:rPr>
                <w:rFonts w:cs="Arial"/>
                <w:sz w:val="20"/>
                <w:szCs w:val="20"/>
              </w:rPr>
            </w:pPr>
            <w:r>
              <w:rPr>
                <w:rFonts w:cs="Arial"/>
                <w:sz w:val="20"/>
                <w:szCs w:val="20"/>
              </w:rPr>
              <w:t>More EPS than average SGA</w:t>
            </w:r>
          </w:p>
        </w:tc>
        <w:tc>
          <w:tcPr>
            <w:tcW w:w="2759" w:type="dxa"/>
            <w:tcBorders>
              <w:top w:val="dotted" w:sz="4" w:space="0" w:color="auto"/>
              <w:left w:val="dotted" w:sz="4" w:space="0" w:color="auto"/>
              <w:bottom w:val="single" w:sz="4" w:space="0" w:color="auto"/>
            </w:tcBorders>
            <w:shd w:val="clear" w:color="auto" w:fill="FFFFFF" w:themeFill="background1"/>
            <w:vAlign w:val="center"/>
          </w:tcPr>
          <w:p w:rsidR="00DD5155" w:rsidRPr="00D51D13" w:rsidRDefault="002A3524" w:rsidP="00DD5155">
            <w:pPr>
              <w:spacing w:after="0"/>
              <w:jc w:val="left"/>
              <w:rPr>
                <w:rFonts w:cs="Arial"/>
                <w:sz w:val="20"/>
                <w:szCs w:val="20"/>
              </w:rPr>
            </w:pPr>
            <w:r>
              <w:rPr>
                <w:rFonts w:cs="Arial"/>
                <w:sz w:val="20"/>
                <w:szCs w:val="20"/>
              </w:rPr>
              <w:t>Available in various preparations</w:t>
            </w:r>
          </w:p>
        </w:tc>
      </w:tr>
    </w:tbl>
    <w:p w:rsidR="00DE01DE" w:rsidRDefault="00E04BA0" w:rsidP="004F7314">
      <w:pPr>
        <w:rPr>
          <w:rFonts w:cs="Arial"/>
        </w:rPr>
      </w:pPr>
      <w:r w:rsidRPr="00F63039">
        <w:rPr>
          <w:rFonts w:cs="Arial"/>
        </w:rPr>
        <w:lastRenderedPageBreak/>
        <w:t xml:space="preserve"> </w:t>
      </w:r>
    </w:p>
    <w:p w:rsidR="000C609F" w:rsidRDefault="00142F10" w:rsidP="000C609F">
      <w:r>
        <w:t>In terms of prescriptions guidelines, aside from clozapine, no one antipsychotic is recommended over another</w:t>
      </w:r>
      <w:r w:rsidR="00F861B4">
        <w:t>. Numerous studies and meta-analyses have shown that clozapine is the most efficacious drug. Moreover, clozapine is the only currently available antipsychotic that is effective at treating the negative symptoms of schizophrenia. However, since clozapine is associated with the most dangerous side-effects it is only recommended for treatment-resistant schizophrenia.</w:t>
      </w:r>
    </w:p>
    <w:p w:rsidR="00F861B4" w:rsidRDefault="00F861B4" w:rsidP="000C609F">
      <w:r>
        <w:t xml:space="preserve">Clinical data have also been unable to distinguish between the other FGAs &amp; SGAs in terms of efficacy and the exhaustive (but much maligned) CATIE trial found that perphenazine (an FGA) had a similar side-effects profile to a number of SGAs. </w:t>
      </w:r>
    </w:p>
    <w:p w:rsidR="00AE28F6" w:rsidRDefault="00AE28F6" w:rsidP="00AE28F6">
      <w:pPr>
        <w:pStyle w:val="Heading2"/>
      </w:pPr>
      <w:r>
        <w:t>Key points</w:t>
      </w:r>
    </w:p>
    <w:p w:rsidR="00AE28F6" w:rsidRDefault="00AE28F6" w:rsidP="00AE28F6">
      <w:pPr>
        <w:spacing w:after="120"/>
      </w:pPr>
      <w:r>
        <w:t>Neuronal dopaminergic pathways</w:t>
      </w:r>
    </w:p>
    <w:p w:rsidR="00AE28F6" w:rsidRDefault="00AE28F6" w:rsidP="00AE28F6">
      <w:pPr>
        <w:pStyle w:val="ListParagraph"/>
        <w:numPr>
          <w:ilvl w:val="0"/>
          <w:numId w:val="40"/>
        </w:numPr>
        <w:spacing w:after="0"/>
        <w:ind w:left="714" w:hanging="357"/>
      </w:pPr>
      <w:r>
        <w:t>Nigrostriatal pathway: inhibition results in movement disorders</w:t>
      </w:r>
    </w:p>
    <w:p w:rsidR="00AE28F6" w:rsidRDefault="00AE28F6" w:rsidP="00AE28F6">
      <w:pPr>
        <w:pStyle w:val="ListParagraph"/>
        <w:numPr>
          <w:ilvl w:val="0"/>
          <w:numId w:val="40"/>
        </w:numPr>
        <w:spacing w:after="0"/>
        <w:ind w:left="714" w:hanging="357"/>
      </w:pPr>
      <w:r>
        <w:t>Mesocortical pathway: inhibition associated with positive schizophrenia symptoms</w:t>
      </w:r>
    </w:p>
    <w:p w:rsidR="00AE28F6" w:rsidRDefault="00AE28F6" w:rsidP="00AE28F6">
      <w:pPr>
        <w:pStyle w:val="ListParagraph"/>
        <w:numPr>
          <w:ilvl w:val="0"/>
          <w:numId w:val="40"/>
        </w:numPr>
        <w:spacing w:after="0"/>
        <w:ind w:left="714" w:hanging="357"/>
      </w:pPr>
      <w:r>
        <w:t>Mesolimbic pathway: inhibition associated with negative schizophrenia symptoms</w:t>
      </w:r>
    </w:p>
    <w:p w:rsidR="00AE28F6" w:rsidRDefault="00AE28F6" w:rsidP="00AE28F6">
      <w:pPr>
        <w:pStyle w:val="ListParagraph"/>
        <w:numPr>
          <w:ilvl w:val="0"/>
          <w:numId w:val="40"/>
        </w:numPr>
        <w:spacing w:after="0"/>
        <w:ind w:left="714" w:hanging="357"/>
      </w:pPr>
      <w:r>
        <w:t>Tuberoinfundibular pathway: inhibition results in hyperprolactinaemia</w:t>
      </w:r>
    </w:p>
    <w:p w:rsidR="000F23AE" w:rsidRDefault="000F23AE" w:rsidP="000F23AE">
      <w:pPr>
        <w:spacing w:after="0"/>
      </w:pPr>
    </w:p>
    <w:p w:rsidR="000F23AE" w:rsidRDefault="000F23AE" w:rsidP="000F23AE">
      <w:pPr>
        <w:spacing w:after="0"/>
      </w:pPr>
      <w:r>
        <w:t>PD Symptoms &amp; pathophysiology</w:t>
      </w:r>
    </w:p>
    <w:p w:rsidR="000F23AE" w:rsidRDefault="000F23AE" w:rsidP="000F23AE">
      <w:pPr>
        <w:pStyle w:val="ListParagraph"/>
        <w:numPr>
          <w:ilvl w:val="0"/>
          <w:numId w:val="42"/>
        </w:numPr>
        <w:spacing w:after="0"/>
      </w:pPr>
      <w:r>
        <w:t xml:space="preserve">Movement disorders, autonomic dysfunction &amp; neuropsychiatric problems </w:t>
      </w:r>
    </w:p>
    <w:p w:rsidR="000F23AE" w:rsidRDefault="000F23AE" w:rsidP="000F23AE">
      <w:pPr>
        <w:pStyle w:val="ListParagraph"/>
        <w:numPr>
          <w:ilvl w:val="0"/>
          <w:numId w:val="42"/>
        </w:numPr>
        <w:spacing w:after="0"/>
      </w:pPr>
      <w:r>
        <w:t>Lewy bodies</w:t>
      </w:r>
    </w:p>
    <w:p w:rsidR="000F23AE" w:rsidRDefault="000F23AE" w:rsidP="000F23AE">
      <w:pPr>
        <w:spacing w:after="0"/>
      </w:pPr>
      <w:r>
        <w:t>PD Drug treatment</w:t>
      </w:r>
    </w:p>
    <w:p w:rsidR="000F23AE" w:rsidRDefault="000F23AE" w:rsidP="000F23AE">
      <w:pPr>
        <w:spacing w:after="0"/>
      </w:pPr>
      <w:r>
        <w:t>Receptor activation</w:t>
      </w:r>
    </w:p>
    <w:p w:rsidR="000F23AE" w:rsidRDefault="000F23AE" w:rsidP="000F23AE">
      <w:pPr>
        <w:pStyle w:val="ListParagraph"/>
        <w:numPr>
          <w:ilvl w:val="0"/>
          <w:numId w:val="41"/>
        </w:numPr>
        <w:spacing w:after="0"/>
      </w:pPr>
      <w:r>
        <w:t>DA receptor agonists: ropinirole</w:t>
      </w:r>
    </w:p>
    <w:p w:rsidR="000F23AE" w:rsidRDefault="000F23AE" w:rsidP="000F23AE">
      <w:pPr>
        <w:pStyle w:val="ListParagraph"/>
        <w:numPr>
          <w:ilvl w:val="0"/>
          <w:numId w:val="41"/>
        </w:numPr>
        <w:spacing w:after="0"/>
      </w:pPr>
      <w:r>
        <w:t>MAO</w:t>
      </w:r>
      <w:r w:rsidRPr="000F23AE">
        <w:rPr>
          <w:vertAlign w:val="subscript"/>
        </w:rPr>
        <w:t>B</w:t>
      </w:r>
      <w:r>
        <w:t xml:space="preserve"> inhibitors: selegiline</w:t>
      </w:r>
    </w:p>
    <w:p w:rsidR="000F23AE" w:rsidRDefault="000F23AE" w:rsidP="000F23AE">
      <w:pPr>
        <w:spacing w:after="0"/>
      </w:pPr>
      <w:r>
        <w:t>Dopamine replacement</w:t>
      </w:r>
    </w:p>
    <w:p w:rsidR="000F23AE" w:rsidRDefault="000F23AE" w:rsidP="000F23AE">
      <w:pPr>
        <w:pStyle w:val="ListParagraph"/>
        <w:numPr>
          <w:ilvl w:val="0"/>
          <w:numId w:val="43"/>
        </w:numPr>
        <w:spacing w:after="0"/>
      </w:pPr>
      <w:r>
        <w:t>Levodopa</w:t>
      </w:r>
    </w:p>
    <w:p w:rsidR="00AE28F6" w:rsidRDefault="000F23AE" w:rsidP="000F23AE">
      <w:pPr>
        <w:pStyle w:val="ListParagraph"/>
        <w:numPr>
          <w:ilvl w:val="0"/>
          <w:numId w:val="43"/>
        </w:numPr>
        <w:spacing w:after="0"/>
      </w:pPr>
      <w:r>
        <w:t>Adjuncts: DOPA decarboxylase &amp; COMT inhibition</w:t>
      </w:r>
    </w:p>
    <w:p w:rsidR="000F23AE" w:rsidRDefault="000F23AE" w:rsidP="000F23AE">
      <w:pPr>
        <w:spacing w:after="0"/>
      </w:pPr>
    </w:p>
    <w:p w:rsidR="000F23AE" w:rsidRPr="000F23AE" w:rsidRDefault="000F23AE" w:rsidP="000F23AE">
      <w:pPr>
        <w:spacing w:after="0"/>
      </w:pPr>
      <w:r w:rsidRPr="000F23AE">
        <w:t xml:space="preserve">Schizophrenia </w:t>
      </w:r>
      <w:r>
        <w:t>b</w:t>
      </w:r>
      <w:r w:rsidRPr="000F23AE">
        <w:t>ackground</w:t>
      </w:r>
    </w:p>
    <w:p w:rsidR="000F23AE" w:rsidRDefault="000F23AE" w:rsidP="000F23AE">
      <w:pPr>
        <w:pStyle w:val="ListParagraph"/>
        <w:numPr>
          <w:ilvl w:val="0"/>
          <w:numId w:val="44"/>
        </w:numPr>
        <w:spacing w:after="0"/>
      </w:pPr>
      <w:r w:rsidRPr="000F23AE">
        <w:t>Primarily affects people between 18-35</w:t>
      </w:r>
    </w:p>
    <w:p w:rsidR="0089318B" w:rsidRPr="000F23AE" w:rsidRDefault="0089318B" w:rsidP="000F23AE">
      <w:pPr>
        <w:pStyle w:val="ListParagraph"/>
        <w:numPr>
          <w:ilvl w:val="0"/>
          <w:numId w:val="44"/>
        </w:numPr>
        <w:spacing w:after="0"/>
      </w:pPr>
      <w:r>
        <w:t>Neurochemical disorder involving the mesolimbic and mesocortical dopaminergic pathways</w:t>
      </w:r>
    </w:p>
    <w:p w:rsidR="0089318B" w:rsidRDefault="0089318B" w:rsidP="000F23AE">
      <w:pPr>
        <w:spacing w:after="0"/>
      </w:pPr>
      <w:r>
        <w:t>Schizophrenia drug treatment</w:t>
      </w:r>
    </w:p>
    <w:p w:rsidR="000F23AE" w:rsidRPr="000F23AE" w:rsidRDefault="000F23AE" w:rsidP="000F23AE">
      <w:pPr>
        <w:spacing w:after="0"/>
      </w:pPr>
      <w:r w:rsidRPr="000F23AE">
        <w:t>First generation antipsychotics</w:t>
      </w:r>
    </w:p>
    <w:p w:rsidR="000F23AE" w:rsidRPr="000F23AE" w:rsidRDefault="000F23AE" w:rsidP="0089318B">
      <w:pPr>
        <w:pStyle w:val="ListParagraph"/>
        <w:numPr>
          <w:ilvl w:val="0"/>
          <w:numId w:val="45"/>
        </w:numPr>
        <w:spacing w:after="0"/>
      </w:pPr>
      <w:r w:rsidRPr="000F23AE">
        <w:t>D</w:t>
      </w:r>
      <w:r w:rsidRPr="0089318B">
        <w:rPr>
          <w:vertAlign w:val="subscript"/>
        </w:rPr>
        <w:t>2</w:t>
      </w:r>
      <w:r w:rsidRPr="000F23AE">
        <w:t>R antagonists, chlorpromazine, haloperidol</w:t>
      </w:r>
    </w:p>
    <w:p w:rsidR="000F23AE" w:rsidRPr="000F23AE" w:rsidRDefault="000F23AE" w:rsidP="0089318B">
      <w:pPr>
        <w:pStyle w:val="ListParagraph"/>
        <w:numPr>
          <w:ilvl w:val="0"/>
          <w:numId w:val="45"/>
        </w:numPr>
        <w:spacing w:after="0"/>
      </w:pPr>
      <w:r w:rsidRPr="000F23AE">
        <w:t>Extrapyramidal side-effects (EPS)</w:t>
      </w:r>
    </w:p>
    <w:p w:rsidR="000F23AE" w:rsidRPr="000F23AE" w:rsidRDefault="000F23AE" w:rsidP="000F23AE">
      <w:pPr>
        <w:spacing w:after="0"/>
      </w:pPr>
      <w:r w:rsidRPr="000F23AE">
        <w:t>Second generation antipsychotics</w:t>
      </w:r>
    </w:p>
    <w:p w:rsidR="000F23AE" w:rsidRPr="000F23AE" w:rsidRDefault="000F23AE" w:rsidP="0089318B">
      <w:pPr>
        <w:pStyle w:val="ListParagraph"/>
        <w:numPr>
          <w:ilvl w:val="0"/>
          <w:numId w:val="46"/>
        </w:numPr>
        <w:spacing w:after="0"/>
      </w:pPr>
      <w:r w:rsidRPr="000F23AE">
        <w:t>Affect various receptors including D</w:t>
      </w:r>
      <w:r w:rsidRPr="0089318B">
        <w:rPr>
          <w:vertAlign w:val="subscript"/>
        </w:rPr>
        <w:t>2</w:t>
      </w:r>
      <w:r w:rsidRPr="000F23AE">
        <w:t>R</w:t>
      </w:r>
    </w:p>
    <w:p w:rsidR="000F23AE" w:rsidRPr="000F23AE" w:rsidRDefault="000F23AE" w:rsidP="0089318B">
      <w:pPr>
        <w:pStyle w:val="ListParagraph"/>
        <w:numPr>
          <w:ilvl w:val="0"/>
          <w:numId w:val="46"/>
        </w:numPr>
        <w:spacing w:after="0"/>
      </w:pPr>
      <w:r w:rsidRPr="000F23AE">
        <w:t>Less EPS, more metabolic side-effects</w:t>
      </w:r>
    </w:p>
    <w:p w:rsidR="000F23AE" w:rsidRDefault="000F23AE" w:rsidP="0089318B">
      <w:pPr>
        <w:pStyle w:val="ListParagraph"/>
        <w:numPr>
          <w:ilvl w:val="0"/>
          <w:numId w:val="46"/>
        </w:numPr>
        <w:spacing w:after="0"/>
      </w:pPr>
      <w:r w:rsidRPr="000F23AE">
        <w:t>Clozapine is the most efficacious</w:t>
      </w:r>
    </w:p>
    <w:p w:rsidR="00E75442" w:rsidRDefault="00E75442" w:rsidP="00E75442"/>
    <w:p w:rsidR="00DD7133" w:rsidRDefault="00DD7133">
      <w:pPr>
        <w:spacing w:after="0" w:line="240" w:lineRule="auto"/>
        <w:jc w:val="left"/>
        <w:rPr>
          <w:rFonts w:eastAsia="Times New Roman" w:cs="Arial"/>
          <w:b/>
          <w:bCs/>
          <w:iCs/>
          <w:sz w:val="24"/>
          <w:szCs w:val="24"/>
        </w:rPr>
      </w:pPr>
      <w:r>
        <w:br w:type="page"/>
      </w:r>
    </w:p>
    <w:p w:rsidR="00E75442" w:rsidRDefault="00E75442" w:rsidP="00E75442">
      <w:pPr>
        <w:pStyle w:val="Heading2"/>
      </w:pPr>
      <w:r>
        <w:lastRenderedPageBreak/>
        <w:t>Addressing David Dexter’s learning objectives</w:t>
      </w:r>
    </w:p>
    <w:p w:rsidR="00E75442" w:rsidRDefault="00E75442" w:rsidP="00E75442">
      <w:pPr>
        <w:pStyle w:val="ListParagraph"/>
        <w:numPr>
          <w:ilvl w:val="0"/>
          <w:numId w:val="39"/>
        </w:numPr>
        <w:spacing w:after="0"/>
        <w:ind w:left="567" w:hanging="425"/>
      </w:pPr>
      <w:r>
        <w:t>Describe the synthetic and metabolic pathways o</w:t>
      </w:r>
      <w:r w:rsidR="00254A21">
        <w:t>f the neurotransmitter dopamine</w:t>
      </w:r>
    </w:p>
    <w:p w:rsidR="00254A21" w:rsidRPr="00254A21" w:rsidRDefault="00254A21" w:rsidP="00254A21">
      <w:pPr>
        <w:spacing w:after="120"/>
        <w:rPr>
          <w:color w:val="FF0000"/>
        </w:rPr>
      </w:pPr>
      <w:r w:rsidRPr="00254A21">
        <w:rPr>
          <w:color w:val="FF0000"/>
        </w:rPr>
        <w:t>Tyrosine</w:t>
      </w:r>
      <w:r w:rsidRPr="00254A21">
        <w:rPr>
          <w:color w:val="FF0000"/>
        </w:rPr>
        <w:sym w:font="Symbol" w:char="F0AE"/>
      </w:r>
      <w:r w:rsidRPr="00254A21">
        <w:rPr>
          <w:color w:val="FF0000"/>
        </w:rPr>
        <w:t>(TH)</w:t>
      </w:r>
      <w:r w:rsidRPr="00254A21">
        <w:rPr>
          <w:color w:val="FF0000"/>
        </w:rPr>
        <w:sym w:font="Symbol" w:char="F0AE"/>
      </w:r>
      <w:r w:rsidRPr="00254A21">
        <w:rPr>
          <w:color w:val="FF0000"/>
        </w:rPr>
        <w:t>L-DOPA</w:t>
      </w:r>
      <w:r w:rsidRPr="00254A21">
        <w:rPr>
          <w:color w:val="FF0000"/>
        </w:rPr>
        <w:sym w:font="Symbol" w:char="F0AE"/>
      </w:r>
      <w:r w:rsidRPr="00254A21">
        <w:rPr>
          <w:color w:val="FF0000"/>
        </w:rPr>
        <w:t>(DOPA decarboxylase)</w:t>
      </w:r>
      <w:r w:rsidRPr="00254A21">
        <w:rPr>
          <w:color w:val="FF0000"/>
        </w:rPr>
        <w:sym w:font="Symbol" w:char="F0AE"/>
      </w:r>
      <w:r w:rsidRPr="00254A21">
        <w:rPr>
          <w:color w:val="FF0000"/>
        </w:rPr>
        <w:t>Dopamine</w:t>
      </w:r>
    </w:p>
    <w:p w:rsidR="00E75442" w:rsidRDefault="00E75442" w:rsidP="00E75442">
      <w:pPr>
        <w:pStyle w:val="ListParagraph"/>
        <w:numPr>
          <w:ilvl w:val="0"/>
          <w:numId w:val="39"/>
        </w:numPr>
        <w:spacing w:after="0"/>
        <w:ind w:left="567" w:hanging="425"/>
      </w:pPr>
      <w:r>
        <w:t>What are the three main dopaminergic pathways in the brain and what are their basic functions?</w:t>
      </w:r>
    </w:p>
    <w:p w:rsidR="00254A21" w:rsidRPr="00254A21" w:rsidRDefault="00254A21" w:rsidP="00254A21">
      <w:pPr>
        <w:spacing w:after="0"/>
        <w:rPr>
          <w:color w:val="FF0000"/>
        </w:rPr>
      </w:pPr>
      <w:r w:rsidRPr="00254A21">
        <w:rPr>
          <w:color w:val="FF0000"/>
        </w:rPr>
        <w:t>The nigrostriatal pathway: Inhibition of this pathway results in movement disorders</w:t>
      </w:r>
    </w:p>
    <w:p w:rsidR="00254A21" w:rsidRPr="00254A21" w:rsidRDefault="00254A21" w:rsidP="00254A21">
      <w:pPr>
        <w:spacing w:after="0"/>
        <w:rPr>
          <w:color w:val="FF0000"/>
        </w:rPr>
      </w:pPr>
      <w:r w:rsidRPr="00254A21">
        <w:rPr>
          <w:color w:val="FF0000"/>
        </w:rPr>
        <w:t>The mesolimbic &amp; mesocortical pathways: Involved in reward &amp; behaviour</w:t>
      </w:r>
    </w:p>
    <w:p w:rsidR="00254A21" w:rsidRDefault="00254A21" w:rsidP="00254A21">
      <w:pPr>
        <w:spacing w:after="120"/>
      </w:pPr>
      <w:r w:rsidRPr="00254A21">
        <w:rPr>
          <w:color w:val="FF0000"/>
        </w:rPr>
        <w:t>The tuberoinfundibular pathway: regulates prolactin secretion</w:t>
      </w:r>
    </w:p>
    <w:p w:rsidR="00E75442" w:rsidRDefault="00E75442" w:rsidP="00E75442">
      <w:pPr>
        <w:pStyle w:val="ListParagraph"/>
        <w:numPr>
          <w:ilvl w:val="0"/>
          <w:numId w:val="39"/>
        </w:numPr>
        <w:spacing w:after="0"/>
        <w:ind w:left="567" w:hanging="425"/>
      </w:pPr>
      <w:r>
        <w:t>What are the two main sub-groups of dopamine receptors?</w:t>
      </w:r>
    </w:p>
    <w:p w:rsidR="00254A21" w:rsidRPr="00254A21" w:rsidRDefault="00254A21" w:rsidP="00254A21">
      <w:pPr>
        <w:spacing w:after="0"/>
        <w:rPr>
          <w:color w:val="FF0000"/>
        </w:rPr>
      </w:pPr>
      <w:r w:rsidRPr="00254A21">
        <w:rPr>
          <w:color w:val="FF0000"/>
        </w:rPr>
        <w:t>D</w:t>
      </w:r>
      <w:r w:rsidRPr="00254A21">
        <w:rPr>
          <w:color w:val="FF0000"/>
          <w:vertAlign w:val="subscript"/>
        </w:rPr>
        <w:t>1</w:t>
      </w:r>
      <w:r w:rsidRPr="00254A21">
        <w:rPr>
          <w:color w:val="FF0000"/>
        </w:rPr>
        <w:t>-like (D</w:t>
      </w:r>
      <w:r w:rsidRPr="00254A21">
        <w:rPr>
          <w:color w:val="FF0000"/>
          <w:vertAlign w:val="subscript"/>
        </w:rPr>
        <w:t>1</w:t>
      </w:r>
      <w:r w:rsidRPr="00254A21">
        <w:rPr>
          <w:color w:val="FF0000"/>
        </w:rPr>
        <w:t xml:space="preserve"> &amp; D</w:t>
      </w:r>
      <w:r w:rsidRPr="00254A21">
        <w:rPr>
          <w:color w:val="FF0000"/>
          <w:vertAlign w:val="subscript"/>
        </w:rPr>
        <w:t>5</w:t>
      </w:r>
      <w:r w:rsidRPr="00254A21">
        <w:rPr>
          <w:color w:val="FF0000"/>
        </w:rPr>
        <w:t>): G</w:t>
      </w:r>
      <w:r w:rsidRPr="00254A21">
        <w:rPr>
          <w:color w:val="FF0000"/>
          <w:vertAlign w:val="subscript"/>
        </w:rPr>
        <w:t>s</w:t>
      </w:r>
      <w:r w:rsidRPr="00254A21">
        <w:rPr>
          <w:color w:val="FF0000"/>
        </w:rPr>
        <w:t xml:space="preserve"> linked</w:t>
      </w:r>
    </w:p>
    <w:p w:rsidR="00254A21" w:rsidRPr="00254A21" w:rsidRDefault="00254A21" w:rsidP="00254A21">
      <w:pPr>
        <w:spacing w:after="120"/>
      </w:pPr>
      <w:r w:rsidRPr="00254A21">
        <w:rPr>
          <w:color w:val="FF0000"/>
        </w:rPr>
        <w:t>D</w:t>
      </w:r>
      <w:r w:rsidRPr="00254A21">
        <w:rPr>
          <w:color w:val="FF0000"/>
          <w:vertAlign w:val="subscript"/>
        </w:rPr>
        <w:t>2</w:t>
      </w:r>
      <w:r w:rsidRPr="00254A21">
        <w:rPr>
          <w:color w:val="FF0000"/>
        </w:rPr>
        <w:t>-like (D</w:t>
      </w:r>
      <w:r w:rsidRPr="00254A21">
        <w:rPr>
          <w:color w:val="FF0000"/>
          <w:vertAlign w:val="subscript"/>
        </w:rPr>
        <w:t xml:space="preserve">2,3 </w:t>
      </w:r>
      <w:r w:rsidRPr="00254A21">
        <w:rPr>
          <w:color w:val="FF0000"/>
        </w:rPr>
        <w:t xml:space="preserve">&amp; </w:t>
      </w:r>
      <w:r w:rsidRPr="00254A21">
        <w:rPr>
          <w:color w:val="FF0000"/>
          <w:vertAlign w:val="subscript"/>
        </w:rPr>
        <w:t>4</w:t>
      </w:r>
      <w:r w:rsidRPr="00254A21">
        <w:rPr>
          <w:color w:val="FF0000"/>
        </w:rPr>
        <w:t>): G</w:t>
      </w:r>
      <w:r w:rsidRPr="00254A21">
        <w:rPr>
          <w:color w:val="FF0000"/>
          <w:vertAlign w:val="subscript"/>
        </w:rPr>
        <w:t>i</w:t>
      </w:r>
      <w:r w:rsidRPr="00254A21">
        <w:rPr>
          <w:color w:val="FF0000"/>
        </w:rPr>
        <w:t xml:space="preserve"> linked</w:t>
      </w:r>
    </w:p>
    <w:p w:rsidR="00E75442" w:rsidRDefault="00E75442" w:rsidP="00E75442">
      <w:pPr>
        <w:pStyle w:val="ListParagraph"/>
        <w:numPr>
          <w:ilvl w:val="0"/>
          <w:numId w:val="39"/>
        </w:numPr>
        <w:spacing w:after="0"/>
        <w:ind w:left="567" w:hanging="425"/>
      </w:pPr>
      <w:r>
        <w:t>Describe the main clinical features of Parkinson’s disease.</w:t>
      </w:r>
    </w:p>
    <w:p w:rsidR="00254A21" w:rsidRPr="00254A21" w:rsidRDefault="00254A21" w:rsidP="00254A21">
      <w:pPr>
        <w:spacing w:after="0"/>
        <w:rPr>
          <w:color w:val="FF0000"/>
        </w:rPr>
      </w:pPr>
      <w:r w:rsidRPr="00254A21">
        <w:rPr>
          <w:color w:val="FF0000"/>
        </w:rPr>
        <w:t>Motor symptoms: Resting tremor, bradykinesia, rigidity, postural instability</w:t>
      </w:r>
    </w:p>
    <w:p w:rsidR="00254A21" w:rsidRDefault="00254A21" w:rsidP="00254A21">
      <w:pPr>
        <w:spacing w:after="120"/>
      </w:pPr>
      <w:r w:rsidRPr="00254A21">
        <w:rPr>
          <w:color w:val="FF0000"/>
        </w:rPr>
        <w:t>Non-motor symptoms: ANS effects, sleep disorders &amp; cognitive deficits</w:t>
      </w:r>
      <w:r>
        <w:t xml:space="preserve">  </w:t>
      </w:r>
    </w:p>
    <w:p w:rsidR="00E75442" w:rsidRDefault="00E75442" w:rsidP="00E75442">
      <w:pPr>
        <w:pStyle w:val="ListParagraph"/>
        <w:numPr>
          <w:ilvl w:val="0"/>
          <w:numId w:val="39"/>
        </w:numPr>
        <w:spacing w:after="0"/>
        <w:ind w:left="567" w:hanging="425"/>
      </w:pPr>
      <w:r>
        <w:t>Which age group of the population is affected by Parkinson’s disease?</w:t>
      </w:r>
    </w:p>
    <w:p w:rsidR="00C64646" w:rsidRPr="00C64646" w:rsidRDefault="00C64646" w:rsidP="00C64646">
      <w:pPr>
        <w:spacing w:after="120"/>
        <w:rPr>
          <w:color w:val="FF0000"/>
        </w:rPr>
      </w:pPr>
      <w:r w:rsidRPr="00C64646">
        <w:rPr>
          <w:color w:val="FF0000"/>
        </w:rPr>
        <w:t>Primarily over 60s</w:t>
      </w:r>
    </w:p>
    <w:p w:rsidR="00E75442" w:rsidRDefault="00E75442" w:rsidP="00E75442">
      <w:pPr>
        <w:pStyle w:val="ListParagraph"/>
        <w:numPr>
          <w:ilvl w:val="0"/>
          <w:numId w:val="39"/>
        </w:numPr>
        <w:spacing w:after="0"/>
        <w:ind w:left="567" w:hanging="425"/>
      </w:pPr>
      <w:r>
        <w:t>What are the main pathological and biochemical features of Parkinson’s disease?</w:t>
      </w:r>
    </w:p>
    <w:p w:rsidR="00C64646" w:rsidRPr="00C64646" w:rsidRDefault="00C64646" w:rsidP="00C64646">
      <w:pPr>
        <w:spacing w:after="120"/>
        <w:rPr>
          <w:color w:val="FF0000"/>
        </w:rPr>
      </w:pPr>
      <w:r w:rsidRPr="00C64646">
        <w:rPr>
          <w:color w:val="FF0000"/>
        </w:rPr>
        <w:t>Loss of th</w:t>
      </w:r>
      <w:r>
        <w:rPr>
          <w:color w:val="FF0000"/>
        </w:rPr>
        <w:t>e</w:t>
      </w:r>
      <w:r w:rsidRPr="00C64646">
        <w:rPr>
          <w:color w:val="FF0000"/>
        </w:rPr>
        <w:t xml:space="preserve"> dopaminergic neurones of the substantia nigra and the presence of Lewy bodies</w:t>
      </w:r>
    </w:p>
    <w:p w:rsidR="00E75442" w:rsidRDefault="00E75442" w:rsidP="00E75442">
      <w:pPr>
        <w:pStyle w:val="ListParagraph"/>
        <w:numPr>
          <w:ilvl w:val="0"/>
          <w:numId w:val="39"/>
        </w:numPr>
        <w:spacing w:after="0"/>
        <w:ind w:left="567" w:hanging="425"/>
      </w:pPr>
      <w:r>
        <w:t>Do the symptoms of Parkinson’s disease appear immediately?</w:t>
      </w:r>
    </w:p>
    <w:p w:rsidR="00C64646" w:rsidRPr="00C64646" w:rsidRDefault="00C64646" w:rsidP="00C64646">
      <w:pPr>
        <w:spacing w:after="120"/>
        <w:rPr>
          <w:color w:val="FF0000"/>
        </w:rPr>
      </w:pPr>
      <w:r>
        <w:rPr>
          <w:color w:val="FF0000"/>
        </w:rPr>
        <w:t>No</w:t>
      </w:r>
    </w:p>
    <w:p w:rsidR="00E75442" w:rsidRDefault="00E75442" w:rsidP="00E75442">
      <w:pPr>
        <w:pStyle w:val="ListParagraph"/>
        <w:numPr>
          <w:ilvl w:val="0"/>
          <w:numId w:val="39"/>
        </w:numPr>
        <w:spacing w:after="0"/>
        <w:ind w:left="567" w:hanging="425"/>
      </w:pPr>
      <w:r>
        <w:t>Can dopamine itself cross the blood brain barrier?</w:t>
      </w:r>
    </w:p>
    <w:p w:rsidR="00C64646" w:rsidRPr="00C64646" w:rsidRDefault="00C64646" w:rsidP="00C64646">
      <w:pPr>
        <w:spacing w:after="120"/>
        <w:rPr>
          <w:color w:val="FF0000"/>
        </w:rPr>
      </w:pPr>
      <w:r w:rsidRPr="00C64646">
        <w:rPr>
          <w:color w:val="FF0000"/>
        </w:rPr>
        <w:t>No</w:t>
      </w:r>
    </w:p>
    <w:p w:rsidR="00E75442" w:rsidRDefault="00E75442" w:rsidP="00E75442">
      <w:pPr>
        <w:pStyle w:val="ListParagraph"/>
        <w:numPr>
          <w:ilvl w:val="0"/>
          <w:numId w:val="39"/>
        </w:numPr>
        <w:spacing w:after="0"/>
        <w:ind w:left="567" w:hanging="425"/>
      </w:pPr>
      <w:r>
        <w:t>In standard preparations what drug is combined with L-DOPA to prevent peripheral side effects?</w:t>
      </w:r>
    </w:p>
    <w:p w:rsidR="00C64646" w:rsidRPr="00C64646" w:rsidRDefault="00C64646" w:rsidP="00C64646">
      <w:pPr>
        <w:spacing w:after="120"/>
        <w:rPr>
          <w:color w:val="FF0000"/>
        </w:rPr>
      </w:pPr>
      <w:r w:rsidRPr="00C64646">
        <w:rPr>
          <w:color w:val="FF0000"/>
        </w:rPr>
        <w:t>Carbidopa OR benserazide</w:t>
      </w:r>
    </w:p>
    <w:p w:rsidR="00E75442" w:rsidRDefault="00E75442" w:rsidP="00E75442">
      <w:pPr>
        <w:pStyle w:val="ListParagraph"/>
        <w:numPr>
          <w:ilvl w:val="0"/>
          <w:numId w:val="39"/>
        </w:numPr>
        <w:spacing w:after="0"/>
        <w:ind w:left="567" w:hanging="425"/>
      </w:pPr>
      <w:r>
        <w:t>What are the short and long-term side effects of L-DOPA therapy and how common are such side effects experienced.</w:t>
      </w:r>
    </w:p>
    <w:p w:rsidR="00C64646" w:rsidRPr="00C64646" w:rsidRDefault="00C64646" w:rsidP="00C64646">
      <w:pPr>
        <w:spacing w:after="120"/>
        <w:rPr>
          <w:color w:val="FF0000"/>
        </w:rPr>
      </w:pPr>
      <w:r w:rsidRPr="00C64646">
        <w:rPr>
          <w:color w:val="FF0000"/>
        </w:rPr>
        <w:t>Short-term: nausea. Long-term: dyskinesias &amp; ‘off’ symptoms</w:t>
      </w:r>
    </w:p>
    <w:p w:rsidR="00E75442" w:rsidRDefault="00E75442" w:rsidP="00E75442">
      <w:pPr>
        <w:pStyle w:val="ListParagraph"/>
        <w:numPr>
          <w:ilvl w:val="0"/>
          <w:numId w:val="39"/>
        </w:numPr>
        <w:spacing w:after="0"/>
        <w:ind w:left="567" w:hanging="425"/>
      </w:pPr>
      <w:r>
        <w:t>In the treatment of Parkinson’s disease how does the mechanism of action of bromocrip</w:t>
      </w:r>
      <w:r w:rsidR="00C64646">
        <w:t>tine differ from that of L-DOPA</w:t>
      </w:r>
    </w:p>
    <w:p w:rsidR="00C64646" w:rsidRPr="00C64646" w:rsidRDefault="00C64646" w:rsidP="00C64646">
      <w:pPr>
        <w:spacing w:after="120"/>
        <w:rPr>
          <w:color w:val="FF0000"/>
        </w:rPr>
      </w:pPr>
      <w:r w:rsidRPr="00C64646">
        <w:rPr>
          <w:color w:val="FF0000"/>
        </w:rPr>
        <w:t>Bromocriptine is dopamine receptor agonist</w:t>
      </w:r>
    </w:p>
    <w:p w:rsidR="00E75442" w:rsidRDefault="00E75442" w:rsidP="00E75442">
      <w:pPr>
        <w:pStyle w:val="ListParagraph"/>
        <w:numPr>
          <w:ilvl w:val="0"/>
          <w:numId w:val="39"/>
        </w:numPr>
        <w:spacing w:after="0"/>
        <w:ind w:left="567" w:hanging="425"/>
      </w:pPr>
      <w:r>
        <w:t>By what mechanism can Deprenyl be utilised to reduc</w:t>
      </w:r>
      <w:r w:rsidR="00C64646">
        <w:t>e the dosage of L-DOPA required</w:t>
      </w:r>
    </w:p>
    <w:p w:rsidR="00C64646" w:rsidRPr="00745A63" w:rsidRDefault="00C64646" w:rsidP="00745A63">
      <w:pPr>
        <w:spacing w:after="120"/>
        <w:rPr>
          <w:color w:val="FF0000"/>
        </w:rPr>
      </w:pPr>
      <w:r w:rsidRPr="00745A63">
        <w:rPr>
          <w:color w:val="FF0000"/>
        </w:rPr>
        <w:t>Prevents dopamine breakdown</w:t>
      </w:r>
      <w:r w:rsidR="00745A63" w:rsidRPr="00745A63">
        <w:rPr>
          <w:color w:val="FF0000"/>
        </w:rPr>
        <w:t xml:space="preserve"> (dosage can be reduced by 10-30%) but it can exacerbate side-effects and should not be used in patients with postural hypotension</w:t>
      </w:r>
    </w:p>
    <w:p w:rsidR="00E75442" w:rsidRDefault="00E75442" w:rsidP="00E75442">
      <w:pPr>
        <w:pStyle w:val="ListParagraph"/>
        <w:numPr>
          <w:ilvl w:val="0"/>
          <w:numId w:val="39"/>
        </w:numPr>
        <w:spacing w:after="0"/>
        <w:ind w:left="567" w:hanging="425"/>
      </w:pPr>
      <w:r>
        <w:t>How do the COMT inhibitors and the MAO inhibitors differ in their mechanism of action?</w:t>
      </w:r>
    </w:p>
    <w:p w:rsidR="00745A63" w:rsidRPr="00745A63" w:rsidRDefault="00745A63" w:rsidP="00745A63">
      <w:pPr>
        <w:spacing w:after="120"/>
        <w:rPr>
          <w:color w:val="FF0000"/>
        </w:rPr>
      </w:pPr>
      <w:r w:rsidRPr="00745A63">
        <w:rPr>
          <w:color w:val="FF0000"/>
        </w:rPr>
        <w:t>COMT inhibitors primarily inhibit peripheral breakdown, whereas MAO inhibitors reduce neuronal breakdown</w:t>
      </w:r>
    </w:p>
    <w:p w:rsidR="00E75442" w:rsidRDefault="00E75442" w:rsidP="00E75442">
      <w:pPr>
        <w:pStyle w:val="ListParagraph"/>
        <w:numPr>
          <w:ilvl w:val="0"/>
          <w:numId w:val="39"/>
        </w:numPr>
        <w:spacing w:after="0"/>
        <w:ind w:left="567" w:hanging="425"/>
      </w:pPr>
      <w:r>
        <w:t>Describe the clinical symptoms of schizophrenia. Which age group are most likely to be affected?</w:t>
      </w:r>
    </w:p>
    <w:p w:rsidR="00745A63" w:rsidRPr="00745A63" w:rsidRDefault="00745A63" w:rsidP="00745A63">
      <w:pPr>
        <w:spacing w:after="120"/>
        <w:rPr>
          <w:color w:val="FF0000"/>
        </w:rPr>
      </w:pPr>
      <w:r w:rsidRPr="00745A63">
        <w:rPr>
          <w:color w:val="FF0000"/>
        </w:rPr>
        <w:t>Symptoms: positive: delusions, hallucinations; negative: anhedonia, alogia. Peaks at around twenty.</w:t>
      </w:r>
    </w:p>
    <w:p w:rsidR="00E75442" w:rsidRDefault="00E75442" w:rsidP="00E75442">
      <w:pPr>
        <w:pStyle w:val="ListParagraph"/>
        <w:numPr>
          <w:ilvl w:val="0"/>
          <w:numId w:val="39"/>
        </w:numPr>
        <w:spacing w:after="0"/>
        <w:ind w:left="567" w:hanging="425"/>
      </w:pPr>
      <w:r>
        <w:t>What is the principle neurotran</w:t>
      </w:r>
      <w:r w:rsidR="00254A21">
        <w:t>smitter defect in schizophrenia?</w:t>
      </w:r>
    </w:p>
    <w:p w:rsidR="00745A63" w:rsidRPr="00745A63" w:rsidRDefault="00745A63" w:rsidP="00745A63">
      <w:pPr>
        <w:spacing w:after="120"/>
        <w:rPr>
          <w:color w:val="FF0000"/>
        </w:rPr>
      </w:pPr>
      <w:r w:rsidRPr="00745A63">
        <w:rPr>
          <w:color w:val="FF0000"/>
        </w:rPr>
        <w:t>Dopamine</w:t>
      </w:r>
    </w:p>
    <w:p w:rsidR="00E75442" w:rsidRDefault="00E75442" w:rsidP="00E75442">
      <w:pPr>
        <w:pStyle w:val="ListParagraph"/>
        <w:numPr>
          <w:ilvl w:val="0"/>
          <w:numId w:val="39"/>
        </w:numPr>
        <w:spacing w:after="0"/>
        <w:ind w:left="567" w:hanging="425"/>
      </w:pPr>
      <w:r>
        <w:lastRenderedPageBreak/>
        <w:t>Are neuroleptic drugs selective for dopamine receptors?</w:t>
      </w:r>
    </w:p>
    <w:p w:rsidR="00745A63" w:rsidRPr="00745A63" w:rsidRDefault="00745A63" w:rsidP="00745A63">
      <w:pPr>
        <w:spacing w:after="120"/>
        <w:rPr>
          <w:color w:val="FF0000"/>
        </w:rPr>
      </w:pPr>
      <w:r w:rsidRPr="00745A63">
        <w:rPr>
          <w:color w:val="FF0000"/>
        </w:rPr>
        <w:t>No</w:t>
      </w:r>
    </w:p>
    <w:p w:rsidR="00E75442" w:rsidRDefault="00E75442" w:rsidP="00E75442">
      <w:pPr>
        <w:pStyle w:val="ListParagraph"/>
        <w:numPr>
          <w:ilvl w:val="0"/>
          <w:numId w:val="39"/>
        </w:numPr>
        <w:spacing w:after="0"/>
        <w:ind w:left="567" w:hanging="425"/>
      </w:pPr>
      <w:r>
        <w:t>Apart from anti-schizophrenic actions, what are other effects produced by neuroleptic drugs that are due to antagonism at dopamine receptors.</w:t>
      </w:r>
    </w:p>
    <w:p w:rsidR="00745A63" w:rsidRPr="00745A63" w:rsidRDefault="00745A63" w:rsidP="00745A63">
      <w:pPr>
        <w:spacing w:after="120"/>
        <w:rPr>
          <w:color w:val="FF0000"/>
        </w:rPr>
      </w:pPr>
      <w:r w:rsidRPr="00745A63">
        <w:rPr>
          <w:color w:val="FF0000"/>
        </w:rPr>
        <w:t xml:space="preserve">Extra-pyramidal side-effects, </w:t>
      </w:r>
      <w:r w:rsidR="00CF588E">
        <w:rPr>
          <w:color w:val="FF0000"/>
        </w:rPr>
        <w:t>hyperprolactinaemia</w:t>
      </w:r>
    </w:p>
    <w:p w:rsidR="00E75442" w:rsidRDefault="00E75442" w:rsidP="00E75442">
      <w:pPr>
        <w:pStyle w:val="ListParagraph"/>
        <w:numPr>
          <w:ilvl w:val="0"/>
          <w:numId w:val="39"/>
        </w:numPr>
        <w:spacing w:after="0"/>
        <w:ind w:left="567" w:hanging="425"/>
      </w:pPr>
      <w:r>
        <w:t>What are acute and tardive dyskinesias and when do they occur in the treatment of schizophrenia?</w:t>
      </w:r>
    </w:p>
    <w:p w:rsidR="00745A63" w:rsidRPr="00745A63" w:rsidRDefault="00745A63" w:rsidP="00745A63">
      <w:pPr>
        <w:spacing w:after="120"/>
        <w:rPr>
          <w:color w:val="FF0000"/>
        </w:rPr>
      </w:pPr>
      <w:r w:rsidRPr="00745A63">
        <w:rPr>
          <w:color w:val="FF0000"/>
        </w:rPr>
        <w:t>Acute dyskinesias occur immediately and are more reversible</w:t>
      </w:r>
    </w:p>
    <w:p w:rsidR="00E75442" w:rsidRDefault="00E75442" w:rsidP="00E75442">
      <w:pPr>
        <w:pStyle w:val="ListParagraph"/>
        <w:numPr>
          <w:ilvl w:val="0"/>
          <w:numId w:val="39"/>
        </w:numPr>
        <w:spacing w:after="0"/>
        <w:ind w:left="567" w:hanging="425"/>
      </w:pPr>
      <w:r>
        <w:t>What are the other unwanted side-effects of neuroleptics that are unrelated to their blockade of dopamine receptors?</w:t>
      </w:r>
    </w:p>
    <w:p w:rsidR="00745A63" w:rsidRPr="00E75442" w:rsidRDefault="00745A63" w:rsidP="00745A63">
      <w:pPr>
        <w:spacing w:after="0"/>
      </w:pPr>
      <w:r>
        <w:rPr>
          <w:color w:val="FF0000"/>
        </w:rPr>
        <w:t>A</w:t>
      </w:r>
      <w:r w:rsidRPr="00745A63">
        <w:rPr>
          <w:color w:val="FF0000"/>
        </w:rPr>
        <w:t>nti</w:t>
      </w:r>
      <w:r>
        <w:rPr>
          <w:color w:val="FF0000"/>
        </w:rPr>
        <w:t>cholinergic effects (sedation), metabolic problems</w:t>
      </w:r>
    </w:p>
    <w:sectPr w:rsidR="00745A63" w:rsidRPr="00E75442" w:rsidSect="00BF1E69">
      <w:headerReference w:type="default" r:id="rId16"/>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43" w:rsidRDefault="006E7B43" w:rsidP="008054D5">
      <w:pPr>
        <w:spacing w:after="0" w:line="240" w:lineRule="auto"/>
      </w:pPr>
      <w:r>
        <w:separator/>
      </w:r>
    </w:p>
  </w:endnote>
  <w:endnote w:type="continuationSeparator" w:id="0">
    <w:p w:rsidR="006E7B43" w:rsidRDefault="006E7B43" w:rsidP="0080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43" w:rsidRDefault="006E7B43" w:rsidP="008054D5">
      <w:pPr>
        <w:spacing w:after="0" w:line="240" w:lineRule="auto"/>
      </w:pPr>
      <w:r>
        <w:separator/>
      </w:r>
    </w:p>
  </w:footnote>
  <w:footnote w:type="continuationSeparator" w:id="0">
    <w:p w:rsidR="006E7B43" w:rsidRDefault="006E7B43" w:rsidP="00805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38" w:type="pct"/>
      <w:tblInd w:w="-1152" w:type="dxa"/>
      <w:tblBorders>
        <w:insideV w:val="single" w:sz="4" w:space="0" w:color="auto"/>
      </w:tblBorders>
      <w:tblLook w:val="04A0" w:firstRow="1" w:lastRow="0" w:firstColumn="1" w:lastColumn="0" w:noHBand="0" w:noVBand="1"/>
    </w:tblPr>
    <w:tblGrid>
      <w:gridCol w:w="1151"/>
      <w:gridCol w:w="9890"/>
    </w:tblGrid>
    <w:tr w:rsidR="002E529B" w:rsidTr="0071420D">
      <w:trPr>
        <w:trHeight w:val="113"/>
      </w:trPr>
      <w:tc>
        <w:tcPr>
          <w:tcW w:w="1151" w:type="dxa"/>
        </w:tcPr>
        <w:p w:rsidR="002E529B" w:rsidRPr="002E529B" w:rsidRDefault="002E529B">
          <w:pPr>
            <w:pStyle w:val="Header"/>
            <w:jc w:val="right"/>
            <w:rPr>
              <w:b/>
              <w:bCs/>
              <w:sz w:val="18"/>
              <w:szCs w:val="18"/>
            </w:rPr>
          </w:pPr>
          <w:r w:rsidRPr="002E529B">
            <w:rPr>
              <w:sz w:val="18"/>
              <w:szCs w:val="18"/>
            </w:rPr>
            <w:fldChar w:fldCharType="begin"/>
          </w:r>
          <w:r w:rsidRPr="002E529B">
            <w:rPr>
              <w:sz w:val="18"/>
              <w:szCs w:val="18"/>
            </w:rPr>
            <w:instrText xml:space="preserve"> PAGE   \* MERGEFORMAT </w:instrText>
          </w:r>
          <w:r w:rsidRPr="002E529B">
            <w:rPr>
              <w:sz w:val="18"/>
              <w:szCs w:val="18"/>
            </w:rPr>
            <w:fldChar w:fldCharType="separate"/>
          </w:r>
          <w:r w:rsidR="001D1989">
            <w:rPr>
              <w:noProof/>
              <w:sz w:val="18"/>
              <w:szCs w:val="18"/>
            </w:rPr>
            <w:t>1</w:t>
          </w:r>
          <w:r w:rsidRPr="002E529B">
            <w:rPr>
              <w:noProof/>
              <w:sz w:val="18"/>
              <w:szCs w:val="18"/>
            </w:rPr>
            <w:fldChar w:fldCharType="end"/>
          </w:r>
        </w:p>
      </w:tc>
      <w:tc>
        <w:tcPr>
          <w:tcW w:w="9890" w:type="dxa"/>
          <w:noWrap/>
        </w:tcPr>
        <w:p w:rsidR="002E529B" w:rsidRPr="002E529B" w:rsidRDefault="002E529B" w:rsidP="002E529B">
          <w:pPr>
            <w:pStyle w:val="Header"/>
            <w:spacing w:after="0"/>
            <w:ind w:right="34"/>
            <w:rPr>
              <w:b/>
              <w:bCs/>
              <w:sz w:val="18"/>
              <w:szCs w:val="18"/>
            </w:rPr>
          </w:pPr>
          <w:r w:rsidRPr="002E529B">
            <w:rPr>
              <w:sz w:val="18"/>
              <w:szCs w:val="18"/>
            </w:rPr>
            <w:fldChar w:fldCharType="begin"/>
          </w:r>
          <w:r w:rsidRPr="002E529B">
            <w:rPr>
              <w:sz w:val="18"/>
              <w:szCs w:val="18"/>
            </w:rPr>
            <w:instrText xml:space="preserve"> STYLEREF  "1" </w:instrText>
          </w:r>
          <w:r w:rsidRPr="002E529B">
            <w:rPr>
              <w:sz w:val="18"/>
              <w:szCs w:val="18"/>
            </w:rPr>
            <w:fldChar w:fldCharType="separate"/>
          </w:r>
          <w:r w:rsidR="001D1989">
            <w:rPr>
              <w:noProof/>
              <w:sz w:val="18"/>
              <w:szCs w:val="18"/>
            </w:rPr>
            <w:t>Anti-Parkinsonian Drugs and Neuroleptics</w:t>
          </w:r>
          <w:r w:rsidRPr="002E529B">
            <w:rPr>
              <w:noProof/>
              <w:sz w:val="18"/>
              <w:szCs w:val="18"/>
            </w:rPr>
            <w:fldChar w:fldCharType="end"/>
          </w:r>
          <w:r>
            <w:rPr>
              <w:noProof/>
              <w:sz w:val="18"/>
              <w:szCs w:val="18"/>
            </w:rPr>
            <w:t xml:space="preserve">                                                                              </w:t>
          </w:r>
          <w:r w:rsidR="0071420D">
            <w:rPr>
              <w:noProof/>
              <w:sz w:val="18"/>
              <w:szCs w:val="18"/>
            </w:rPr>
            <w:t xml:space="preserve">   </w:t>
          </w:r>
          <w:r w:rsidR="00DD7133">
            <w:rPr>
              <w:noProof/>
              <w:sz w:val="18"/>
              <w:szCs w:val="18"/>
            </w:rPr>
            <w:t xml:space="preserve"> </w:t>
          </w:r>
          <w:r w:rsidR="0071420D">
            <w:rPr>
              <w:noProof/>
              <w:sz w:val="18"/>
              <w:szCs w:val="18"/>
            </w:rPr>
            <w:t xml:space="preserve">Dr </w:t>
          </w:r>
          <w:r>
            <w:rPr>
              <w:noProof/>
              <w:sz w:val="18"/>
              <w:szCs w:val="18"/>
            </w:rPr>
            <w:t>Sohag Saleh</w:t>
          </w:r>
          <w:r w:rsidR="00DD7133">
            <w:rPr>
              <w:noProof/>
              <w:sz w:val="18"/>
              <w:szCs w:val="18"/>
            </w:rPr>
            <w:t xml:space="preserve"> (2012-13)</w:t>
          </w:r>
        </w:p>
      </w:tc>
    </w:tr>
  </w:tbl>
  <w:p w:rsidR="0028747D" w:rsidRDefault="0028747D" w:rsidP="00805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87D"/>
    <w:multiLevelType w:val="hybridMultilevel"/>
    <w:tmpl w:val="F22AD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4674D"/>
    <w:multiLevelType w:val="hybridMultilevel"/>
    <w:tmpl w:val="22289B50"/>
    <w:lvl w:ilvl="0" w:tplc="D7740BC2">
      <w:start w:val="1"/>
      <w:numFmt w:val="upperLetter"/>
      <w:pStyle w:val="Heading4"/>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6E0C01"/>
    <w:multiLevelType w:val="hybridMultilevel"/>
    <w:tmpl w:val="50CE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86C1D"/>
    <w:multiLevelType w:val="hybridMultilevel"/>
    <w:tmpl w:val="C0844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E3B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B4271CA"/>
    <w:multiLevelType w:val="hybridMultilevel"/>
    <w:tmpl w:val="595C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75459"/>
    <w:multiLevelType w:val="hybridMultilevel"/>
    <w:tmpl w:val="3EE8AB44"/>
    <w:lvl w:ilvl="0" w:tplc="0809000F">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503D4"/>
    <w:multiLevelType w:val="hybridMultilevel"/>
    <w:tmpl w:val="5232C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6292B"/>
    <w:multiLevelType w:val="hybridMultilevel"/>
    <w:tmpl w:val="282A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E2D20"/>
    <w:multiLevelType w:val="hybridMultilevel"/>
    <w:tmpl w:val="DD12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F2409"/>
    <w:multiLevelType w:val="hybridMultilevel"/>
    <w:tmpl w:val="487417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7554C"/>
    <w:multiLevelType w:val="hybridMultilevel"/>
    <w:tmpl w:val="C0D8B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E062CB"/>
    <w:multiLevelType w:val="hybridMultilevel"/>
    <w:tmpl w:val="109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043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37C5C07"/>
    <w:multiLevelType w:val="hybridMultilevel"/>
    <w:tmpl w:val="EF5E7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DB1615A"/>
    <w:multiLevelType w:val="hybridMultilevel"/>
    <w:tmpl w:val="F28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26B77"/>
    <w:multiLevelType w:val="hybridMultilevel"/>
    <w:tmpl w:val="F286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837CB"/>
    <w:multiLevelType w:val="hybridMultilevel"/>
    <w:tmpl w:val="38A2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E009B"/>
    <w:multiLevelType w:val="hybridMultilevel"/>
    <w:tmpl w:val="F51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F14D4"/>
    <w:multiLevelType w:val="hybridMultilevel"/>
    <w:tmpl w:val="A05A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437E1C"/>
    <w:multiLevelType w:val="hybridMultilevel"/>
    <w:tmpl w:val="A19C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623CE"/>
    <w:multiLevelType w:val="hybridMultilevel"/>
    <w:tmpl w:val="A50E8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CF5727"/>
    <w:multiLevelType w:val="hybridMultilevel"/>
    <w:tmpl w:val="A306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1C2A5A"/>
    <w:multiLevelType w:val="hybridMultilevel"/>
    <w:tmpl w:val="F5C064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5176CC"/>
    <w:multiLevelType w:val="hybridMultilevel"/>
    <w:tmpl w:val="A75A9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EC0518"/>
    <w:multiLevelType w:val="hybridMultilevel"/>
    <w:tmpl w:val="2E2C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EC24B7"/>
    <w:multiLevelType w:val="hybridMultilevel"/>
    <w:tmpl w:val="898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24584"/>
    <w:multiLevelType w:val="hybridMultilevel"/>
    <w:tmpl w:val="3416896C"/>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28">
    <w:nsid w:val="6222765C"/>
    <w:multiLevelType w:val="singleLevel"/>
    <w:tmpl w:val="8E8E6338"/>
    <w:lvl w:ilvl="0">
      <w:start w:val="1"/>
      <w:numFmt w:val="decimal"/>
      <w:lvlText w:val="%1)"/>
      <w:lvlJc w:val="left"/>
      <w:pPr>
        <w:ind w:left="1080" w:hanging="720"/>
      </w:pPr>
      <w:rPr>
        <w:rFonts w:hint="default"/>
      </w:rPr>
    </w:lvl>
  </w:abstractNum>
  <w:abstractNum w:abstractNumId="29">
    <w:nsid w:val="6461301B"/>
    <w:multiLevelType w:val="hybridMultilevel"/>
    <w:tmpl w:val="667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EB7AEB"/>
    <w:multiLevelType w:val="hybridMultilevel"/>
    <w:tmpl w:val="C26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B54123"/>
    <w:multiLevelType w:val="hybridMultilevel"/>
    <w:tmpl w:val="4ABECF2A"/>
    <w:lvl w:ilvl="0" w:tplc="14A68578">
      <w:start w:val="1"/>
      <w:numFmt w:val="bullet"/>
      <w:lvlText w:val=""/>
      <w:lvlJc w:val="left"/>
      <w:pPr>
        <w:tabs>
          <w:tab w:val="num" w:pos="1080"/>
        </w:tabs>
        <w:ind w:left="1080" w:hanging="4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DA49FE"/>
    <w:multiLevelType w:val="hybridMultilevel"/>
    <w:tmpl w:val="9880E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0779CD"/>
    <w:multiLevelType w:val="hybridMultilevel"/>
    <w:tmpl w:val="1458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4F44CF"/>
    <w:multiLevelType w:val="hybridMultilevel"/>
    <w:tmpl w:val="D21A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1C6EB7"/>
    <w:multiLevelType w:val="hybridMultilevel"/>
    <w:tmpl w:val="A9FCC2E6"/>
    <w:lvl w:ilvl="0" w:tplc="702EF0DC">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DE7554"/>
    <w:multiLevelType w:val="hybridMultilevel"/>
    <w:tmpl w:val="BDB2D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B9666A"/>
    <w:multiLevelType w:val="hybridMultilevel"/>
    <w:tmpl w:val="71369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6B2FE4"/>
    <w:multiLevelType w:val="hybridMultilevel"/>
    <w:tmpl w:val="D71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A306F"/>
    <w:multiLevelType w:val="hybridMultilevel"/>
    <w:tmpl w:val="87487C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73DC1318"/>
    <w:multiLevelType w:val="hybridMultilevel"/>
    <w:tmpl w:val="5816D89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nsid w:val="74D01A77"/>
    <w:multiLevelType w:val="hybridMultilevel"/>
    <w:tmpl w:val="20B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0D7BCA"/>
    <w:multiLevelType w:val="hybridMultilevel"/>
    <w:tmpl w:val="78D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878C1"/>
    <w:multiLevelType w:val="hybridMultilevel"/>
    <w:tmpl w:val="AACE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D55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F9C5025"/>
    <w:multiLevelType w:val="hybridMultilevel"/>
    <w:tmpl w:val="F8A6A412"/>
    <w:lvl w:ilvl="0" w:tplc="8E8E6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27"/>
  </w:num>
  <w:num w:numId="4">
    <w:abstractNumId w:val="21"/>
  </w:num>
  <w:num w:numId="5">
    <w:abstractNumId w:val="36"/>
  </w:num>
  <w:num w:numId="6">
    <w:abstractNumId w:val="25"/>
  </w:num>
  <w:num w:numId="7">
    <w:abstractNumId w:val="8"/>
  </w:num>
  <w:num w:numId="8">
    <w:abstractNumId w:val="11"/>
  </w:num>
  <w:num w:numId="9">
    <w:abstractNumId w:val="38"/>
  </w:num>
  <w:num w:numId="10">
    <w:abstractNumId w:val="42"/>
  </w:num>
  <w:num w:numId="11">
    <w:abstractNumId w:val="31"/>
  </w:num>
  <w:num w:numId="12">
    <w:abstractNumId w:val="5"/>
  </w:num>
  <w:num w:numId="13">
    <w:abstractNumId w:val="23"/>
  </w:num>
  <w:num w:numId="14">
    <w:abstractNumId w:val="13"/>
  </w:num>
  <w:num w:numId="15">
    <w:abstractNumId w:val="28"/>
  </w:num>
  <w:num w:numId="16">
    <w:abstractNumId w:val="44"/>
  </w:num>
  <w:num w:numId="17">
    <w:abstractNumId w:val="4"/>
  </w:num>
  <w:num w:numId="18">
    <w:abstractNumId w:val="3"/>
  </w:num>
  <w:num w:numId="19">
    <w:abstractNumId w:val="19"/>
  </w:num>
  <w:num w:numId="20">
    <w:abstractNumId w:val="10"/>
  </w:num>
  <w:num w:numId="21">
    <w:abstractNumId w:val="35"/>
  </w:num>
  <w:num w:numId="22">
    <w:abstractNumId w:val="6"/>
  </w:num>
  <w:num w:numId="23">
    <w:abstractNumId w:val="14"/>
  </w:num>
  <w:num w:numId="24">
    <w:abstractNumId w:val="7"/>
  </w:num>
  <w:num w:numId="25">
    <w:abstractNumId w:val="26"/>
  </w:num>
  <w:num w:numId="26">
    <w:abstractNumId w:val="41"/>
  </w:num>
  <w:num w:numId="27">
    <w:abstractNumId w:val="33"/>
  </w:num>
  <w:num w:numId="28">
    <w:abstractNumId w:val="9"/>
  </w:num>
  <w:num w:numId="29">
    <w:abstractNumId w:val="2"/>
  </w:num>
  <w:num w:numId="30">
    <w:abstractNumId w:val="18"/>
  </w:num>
  <w:num w:numId="31">
    <w:abstractNumId w:val="22"/>
  </w:num>
  <w:num w:numId="32">
    <w:abstractNumId w:val="34"/>
  </w:num>
  <w:num w:numId="33">
    <w:abstractNumId w:val="32"/>
  </w:num>
  <w:num w:numId="34">
    <w:abstractNumId w:val="1"/>
  </w:num>
  <w:num w:numId="35">
    <w:abstractNumId w:val="40"/>
  </w:num>
  <w:num w:numId="36">
    <w:abstractNumId w:val="16"/>
  </w:num>
  <w:num w:numId="37">
    <w:abstractNumId w:val="24"/>
  </w:num>
  <w:num w:numId="38">
    <w:abstractNumId w:val="37"/>
  </w:num>
  <w:num w:numId="39">
    <w:abstractNumId w:val="45"/>
  </w:num>
  <w:num w:numId="40">
    <w:abstractNumId w:val="43"/>
  </w:num>
  <w:num w:numId="41">
    <w:abstractNumId w:val="30"/>
  </w:num>
  <w:num w:numId="42">
    <w:abstractNumId w:val="17"/>
  </w:num>
  <w:num w:numId="43">
    <w:abstractNumId w:val="12"/>
  </w:num>
  <w:num w:numId="44">
    <w:abstractNumId w:val="15"/>
  </w:num>
  <w:num w:numId="45">
    <w:abstractNumId w:val="2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F0"/>
    <w:rsid w:val="000022E5"/>
    <w:rsid w:val="00007B3B"/>
    <w:rsid w:val="00010D78"/>
    <w:rsid w:val="00013E39"/>
    <w:rsid w:val="00026F6A"/>
    <w:rsid w:val="000272C4"/>
    <w:rsid w:val="00040279"/>
    <w:rsid w:val="00043382"/>
    <w:rsid w:val="00076649"/>
    <w:rsid w:val="00081C64"/>
    <w:rsid w:val="000972A2"/>
    <w:rsid w:val="00097F1A"/>
    <w:rsid w:val="000A75C9"/>
    <w:rsid w:val="000B6FF0"/>
    <w:rsid w:val="000C4350"/>
    <w:rsid w:val="000C609F"/>
    <w:rsid w:val="000E76F8"/>
    <w:rsid w:val="000F1C47"/>
    <w:rsid w:val="000F23AE"/>
    <w:rsid w:val="00106243"/>
    <w:rsid w:val="0013698C"/>
    <w:rsid w:val="00137CCC"/>
    <w:rsid w:val="00141C97"/>
    <w:rsid w:val="00142F10"/>
    <w:rsid w:val="00146F9B"/>
    <w:rsid w:val="00150F88"/>
    <w:rsid w:val="00164974"/>
    <w:rsid w:val="001840B0"/>
    <w:rsid w:val="001955BD"/>
    <w:rsid w:val="001C0C0A"/>
    <w:rsid w:val="001C2B63"/>
    <w:rsid w:val="001C3989"/>
    <w:rsid w:val="001D1989"/>
    <w:rsid w:val="001E2E07"/>
    <w:rsid w:val="002016F2"/>
    <w:rsid w:val="002229D0"/>
    <w:rsid w:val="0023238B"/>
    <w:rsid w:val="00232F9E"/>
    <w:rsid w:val="00237D9E"/>
    <w:rsid w:val="00240620"/>
    <w:rsid w:val="002450AE"/>
    <w:rsid w:val="00254A21"/>
    <w:rsid w:val="00260A0D"/>
    <w:rsid w:val="0026193A"/>
    <w:rsid w:val="0028747D"/>
    <w:rsid w:val="00291354"/>
    <w:rsid w:val="00291ABA"/>
    <w:rsid w:val="0029234A"/>
    <w:rsid w:val="002A3524"/>
    <w:rsid w:val="002A6797"/>
    <w:rsid w:val="002A6AE0"/>
    <w:rsid w:val="002C148E"/>
    <w:rsid w:val="002C65A3"/>
    <w:rsid w:val="002D1574"/>
    <w:rsid w:val="002E4CCA"/>
    <w:rsid w:val="002E529B"/>
    <w:rsid w:val="002F2DFD"/>
    <w:rsid w:val="002F63D0"/>
    <w:rsid w:val="002F6A46"/>
    <w:rsid w:val="003261A4"/>
    <w:rsid w:val="00361622"/>
    <w:rsid w:val="00370E54"/>
    <w:rsid w:val="00387B06"/>
    <w:rsid w:val="003A4F32"/>
    <w:rsid w:val="003C30DE"/>
    <w:rsid w:val="003D47CA"/>
    <w:rsid w:val="003E655A"/>
    <w:rsid w:val="004134AD"/>
    <w:rsid w:val="00453849"/>
    <w:rsid w:val="00453D19"/>
    <w:rsid w:val="00482F24"/>
    <w:rsid w:val="00490444"/>
    <w:rsid w:val="004A2BBE"/>
    <w:rsid w:val="004B64A8"/>
    <w:rsid w:val="004C0955"/>
    <w:rsid w:val="004C37B3"/>
    <w:rsid w:val="004D2651"/>
    <w:rsid w:val="004D3019"/>
    <w:rsid w:val="004D51D4"/>
    <w:rsid w:val="004E6871"/>
    <w:rsid w:val="004F1ECE"/>
    <w:rsid w:val="004F7314"/>
    <w:rsid w:val="00504F69"/>
    <w:rsid w:val="00506347"/>
    <w:rsid w:val="0051018A"/>
    <w:rsid w:val="00511E03"/>
    <w:rsid w:val="00514251"/>
    <w:rsid w:val="0051498E"/>
    <w:rsid w:val="00515578"/>
    <w:rsid w:val="00523922"/>
    <w:rsid w:val="00531179"/>
    <w:rsid w:val="00540BC0"/>
    <w:rsid w:val="005463CB"/>
    <w:rsid w:val="00550730"/>
    <w:rsid w:val="00551D75"/>
    <w:rsid w:val="00594753"/>
    <w:rsid w:val="0059589F"/>
    <w:rsid w:val="005A0FE4"/>
    <w:rsid w:val="005C6E72"/>
    <w:rsid w:val="005D0533"/>
    <w:rsid w:val="005D1DE7"/>
    <w:rsid w:val="005D752E"/>
    <w:rsid w:val="005E4D31"/>
    <w:rsid w:val="0062627B"/>
    <w:rsid w:val="006271CB"/>
    <w:rsid w:val="00627B74"/>
    <w:rsid w:val="00630064"/>
    <w:rsid w:val="00630291"/>
    <w:rsid w:val="00635015"/>
    <w:rsid w:val="00642BFF"/>
    <w:rsid w:val="006463B6"/>
    <w:rsid w:val="00660456"/>
    <w:rsid w:val="006667E0"/>
    <w:rsid w:val="00670352"/>
    <w:rsid w:val="0067441A"/>
    <w:rsid w:val="006878BB"/>
    <w:rsid w:val="0069321C"/>
    <w:rsid w:val="00697F87"/>
    <w:rsid w:val="006B6F27"/>
    <w:rsid w:val="006B7B7D"/>
    <w:rsid w:val="006C657E"/>
    <w:rsid w:val="006D795C"/>
    <w:rsid w:val="006E4F7E"/>
    <w:rsid w:val="006E7B43"/>
    <w:rsid w:val="006F1FE5"/>
    <w:rsid w:val="007079AF"/>
    <w:rsid w:val="0071420D"/>
    <w:rsid w:val="0072383C"/>
    <w:rsid w:val="00726E45"/>
    <w:rsid w:val="007304BD"/>
    <w:rsid w:val="00743327"/>
    <w:rsid w:val="00745A63"/>
    <w:rsid w:val="00760902"/>
    <w:rsid w:val="0076200D"/>
    <w:rsid w:val="00767B73"/>
    <w:rsid w:val="007711BF"/>
    <w:rsid w:val="007716C7"/>
    <w:rsid w:val="00776889"/>
    <w:rsid w:val="0078211C"/>
    <w:rsid w:val="00795263"/>
    <w:rsid w:val="007A3490"/>
    <w:rsid w:val="007A785C"/>
    <w:rsid w:val="007B4AE3"/>
    <w:rsid w:val="007B6339"/>
    <w:rsid w:val="007B72F9"/>
    <w:rsid w:val="007E0E06"/>
    <w:rsid w:val="007E65B6"/>
    <w:rsid w:val="007F7A0D"/>
    <w:rsid w:val="008019D8"/>
    <w:rsid w:val="008054D5"/>
    <w:rsid w:val="00814ADE"/>
    <w:rsid w:val="008363B9"/>
    <w:rsid w:val="00836903"/>
    <w:rsid w:val="00841E9C"/>
    <w:rsid w:val="00844E54"/>
    <w:rsid w:val="00854653"/>
    <w:rsid w:val="00861C11"/>
    <w:rsid w:val="0086254C"/>
    <w:rsid w:val="00891267"/>
    <w:rsid w:val="0089318B"/>
    <w:rsid w:val="008A1BD5"/>
    <w:rsid w:val="008A7E5C"/>
    <w:rsid w:val="008C2965"/>
    <w:rsid w:val="008D4E2C"/>
    <w:rsid w:val="008E52DC"/>
    <w:rsid w:val="00902361"/>
    <w:rsid w:val="0090687A"/>
    <w:rsid w:val="009078F0"/>
    <w:rsid w:val="00917967"/>
    <w:rsid w:val="00921F6A"/>
    <w:rsid w:val="00927483"/>
    <w:rsid w:val="00931BAC"/>
    <w:rsid w:val="00936A8C"/>
    <w:rsid w:val="00941B66"/>
    <w:rsid w:val="00942379"/>
    <w:rsid w:val="009443AA"/>
    <w:rsid w:val="00946F41"/>
    <w:rsid w:val="009518D7"/>
    <w:rsid w:val="0095546D"/>
    <w:rsid w:val="0097108B"/>
    <w:rsid w:val="00973FC1"/>
    <w:rsid w:val="00977D9A"/>
    <w:rsid w:val="00984070"/>
    <w:rsid w:val="009B1828"/>
    <w:rsid w:val="009B3D68"/>
    <w:rsid w:val="009C2116"/>
    <w:rsid w:val="009D7983"/>
    <w:rsid w:val="009E72A5"/>
    <w:rsid w:val="009F13D2"/>
    <w:rsid w:val="009F3499"/>
    <w:rsid w:val="00A07032"/>
    <w:rsid w:val="00A16437"/>
    <w:rsid w:val="00A23E14"/>
    <w:rsid w:val="00A240A8"/>
    <w:rsid w:val="00A37BAE"/>
    <w:rsid w:val="00A41C79"/>
    <w:rsid w:val="00A50148"/>
    <w:rsid w:val="00A82367"/>
    <w:rsid w:val="00A86FE3"/>
    <w:rsid w:val="00A9220F"/>
    <w:rsid w:val="00A97503"/>
    <w:rsid w:val="00AB434B"/>
    <w:rsid w:val="00AD7397"/>
    <w:rsid w:val="00AE28F6"/>
    <w:rsid w:val="00AE63E4"/>
    <w:rsid w:val="00B075F8"/>
    <w:rsid w:val="00B124C4"/>
    <w:rsid w:val="00B2524E"/>
    <w:rsid w:val="00B279C9"/>
    <w:rsid w:val="00B32EA4"/>
    <w:rsid w:val="00B5391A"/>
    <w:rsid w:val="00B62682"/>
    <w:rsid w:val="00B8233E"/>
    <w:rsid w:val="00BA10BB"/>
    <w:rsid w:val="00BB5BCE"/>
    <w:rsid w:val="00BD20BD"/>
    <w:rsid w:val="00BF1E69"/>
    <w:rsid w:val="00BF6896"/>
    <w:rsid w:val="00C113BC"/>
    <w:rsid w:val="00C40473"/>
    <w:rsid w:val="00C45858"/>
    <w:rsid w:val="00C462EE"/>
    <w:rsid w:val="00C55EC0"/>
    <w:rsid w:val="00C5657B"/>
    <w:rsid w:val="00C5788E"/>
    <w:rsid w:val="00C61B59"/>
    <w:rsid w:val="00C63311"/>
    <w:rsid w:val="00C64646"/>
    <w:rsid w:val="00C931F0"/>
    <w:rsid w:val="00C941FD"/>
    <w:rsid w:val="00CA070B"/>
    <w:rsid w:val="00CA39AD"/>
    <w:rsid w:val="00CA7024"/>
    <w:rsid w:val="00CE384D"/>
    <w:rsid w:val="00CE45EE"/>
    <w:rsid w:val="00CE49BA"/>
    <w:rsid w:val="00CF588E"/>
    <w:rsid w:val="00CF73B1"/>
    <w:rsid w:val="00D06AA3"/>
    <w:rsid w:val="00D16781"/>
    <w:rsid w:val="00D411A5"/>
    <w:rsid w:val="00D45631"/>
    <w:rsid w:val="00D51D13"/>
    <w:rsid w:val="00D80BE5"/>
    <w:rsid w:val="00D90908"/>
    <w:rsid w:val="00D91B13"/>
    <w:rsid w:val="00D94DC1"/>
    <w:rsid w:val="00D96060"/>
    <w:rsid w:val="00D97F1E"/>
    <w:rsid w:val="00DA0C67"/>
    <w:rsid w:val="00DA4043"/>
    <w:rsid w:val="00DA5BEC"/>
    <w:rsid w:val="00DD0C3A"/>
    <w:rsid w:val="00DD5155"/>
    <w:rsid w:val="00DD6ECF"/>
    <w:rsid w:val="00DD7133"/>
    <w:rsid w:val="00DE01DE"/>
    <w:rsid w:val="00DE0E6A"/>
    <w:rsid w:val="00DF5B2E"/>
    <w:rsid w:val="00E01E93"/>
    <w:rsid w:val="00E04BA0"/>
    <w:rsid w:val="00E301CE"/>
    <w:rsid w:val="00E36803"/>
    <w:rsid w:val="00E528D4"/>
    <w:rsid w:val="00E54898"/>
    <w:rsid w:val="00E71847"/>
    <w:rsid w:val="00E75442"/>
    <w:rsid w:val="00E757DE"/>
    <w:rsid w:val="00EA6880"/>
    <w:rsid w:val="00EB277E"/>
    <w:rsid w:val="00EE01C3"/>
    <w:rsid w:val="00F05B58"/>
    <w:rsid w:val="00F10E5A"/>
    <w:rsid w:val="00F12A81"/>
    <w:rsid w:val="00F164DA"/>
    <w:rsid w:val="00F6527B"/>
    <w:rsid w:val="00F82F19"/>
    <w:rsid w:val="00F861B4"/>
    <w:rsid w:val="00FB1FF0"/>
    <w:rsid w:val="00FB40FA"/>
    <w:rsid w:val="00FC0FC0"/>
    <w:rsid w:val="00FE16F4"/>
    <w:rsid w:val="00FE1A83"/>
    <w:rsid w:val="00FE2015"/>
    <w:rsid w:val="00FF0C4E"/>
    <w:rsid w:val="00FF398A"/>
    <w:rsid w:val="00FF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69"/>
    <w:pPr>
      <w:spacing w:after="200" w:line="276" w:lineRule="auto"/>
      <w:jc w:val="both"/>
    </w:pPr>
    <w:rPr>
      <w:rFonts w:ascii="Arial" w:hAnsi="Arial" w:cs="Calibri"/>
      <w:sz w:val="22"/>
      <w:szCs w:val="22"/>
      <w:lang w:eastAsia="en-US"/>
    </w:rPr>
  </w:style>
  <w:style w:type="paragraph" w:styleId="Heading1">
    <w:name w:val="heading 1"/>
    <w:basedOn w:val="Heading2"/>
    <w:next w:val="Normal"/>
    <w:link w:val="Heading1Char"/>
    <w:qFormat/>
    <w:locked/>
    <w:rsid w:val="006C657E"/>
    <w:pPr>
      <w:spacing w:before="0" w:after="0"/>
      <w:outlineLvl w:val="0"/>
    </w:pPr>
    <w:rPr>
      <w:sz w:val="28"/>
      <w:szCs w:val="28"/>
    </w:rPr>
  </w:style>
  <w:style w:type="paragraph" w:styleId="Heading2">
    <w:name w:val="heading 2"/>
    <w:basedOn w:val="Normal"/>
    <w:next w:val="Normal"/>
    <w:link w:val="Heading2Char"/>
    <w:unhideWhenUsed/>
    <w:qFormat/>
    <w:locked/>
    <w:rsid w:val="006C657E"/>
    <w:pPr>
      <w:keepNext/>
      <w:spacing w:before="240" w:after="60"/>
      <w:outlineLvl w:val="1"/>
    </w:pPr>
    <w:rPr>
      <w:rFonts w:eastAsia="Times New Roman" w:cs="Arial"/>
      <w:b/>
      <w:bCs/>
      <w:iCs/>
      <w:sz w:val="24"/>
      <w:szCs w:val="24"/>
    </w:rPr>
  </w:style>
  <w:style w:type="paragraph" w:styleId="Heading3">
    <w:name w:val="heading 3"/>
    <w:basedOn w:val="Normal"/>
    <w:next w:val="Normal"/>
    <w:link w:val="Heading3Char"/>
    <w:unhideWhenUsed/>
    <w:qFormat/>
    <w:locked/>
    <w:rsid w:val="006E4F7E"/>
    <w:pPr>
      <w:spacing w:after="120"/>
      <w:outlineLvl w:val="2"/>
    </w:pPr>
    <w:rPr>
      <w:rFonts w:cs="Arial"/>
      <w:i/>
    </w:rPr>
  </w:style>
  <w:style w:type="paragraph" w:styleId="Heading4">
    <w:name w:val="heading 4"/>
    <w:basedOn w:val="text"/>
    <w:next w:val="Normal"/>
    <w:link w:val="Heading4Char"/>
    <w:unhideWhenUsed/>
    <w:qFormat/>
    <w:locked/>
    <w:rsid w:val="00C931F0"/>
    <w:pPr>
      <w:numPr>
        <w:numId w:val="34"/>
      </w:numPr>
      <w:spacing w:line="276" w:lineRule="auto"/>
      <w:jc w:val="both"/>
      <w:outlineLvl w:val="3"/>
    </w:pPr>
    <w:rPr>
      <w:rFonts w:ascii="Arial" w:hAnsi="Arial" w:cs="Arial"/>
      <w:i/>
      <w:sz w:val="22"/>
      <w:szCs w:val="22"/>
    </w:rPr>
  </w:style>
  <w:style w:type="paragraph" w:styleId="Heading5">
    <w:name w:val="heading 5"/>
    <w:basedOn w:val="Normal"/>
    <w:next w:val="Normal"/>
    <w:link w:val="Heading5Char"/>
    <w:unhideWhenUsed/>
    <w:qFormat/>
    <w:locked/>
    <w:rsid w:val="00504F69"/>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A8C"/>
    <w:rPr>
      <w:rFonts w:ascii="Tahoma" w:hAnsi="Tahoma" w:cs="Tahoma"/>
      <w:sz w:val="16"/>
      <w:szCs w:val="16"/>
    </w:rPr>
  </w:style>
  <w:style w:type="paragraph" w:styleId="ListParagraph">
    <w:name w:val="List Paragraph"/>
    <w:basedOn w:val="Normal"/>
    <w:uiPriority w:val="99"/>
    <w:qFormat/>
    <w:rsid w:val="00361622"/>
    <w:pPr>
      <w:ind w:left="720"/>
    </w:pPr>
  </w:style>
  <w:style w:type="table" w:styleId="TableGrid">
    <w:name w:val="Table Grid"/>
    <w:basedOn w:val="TableNormal"/>
    <w:uiPriority w:val="99"/>
    <w:rsid w:val="00FF0C4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657E"/>
    <w:rPr>
      <w:rFonts w:ascii="Arial" w:eastAsia="Times New Roman" w:hAnsi="Arial" w:cs="Arial"/>
      <w:b/>
      <w:bCs/>
      <w:iCs/>
      <w:sz w:val="28"/>
      <w:szCs w:val="28"/>
      <w:lang w:eastAsia="en-US"/>
    </w:rPr>
  </w:style>
  <w:style w:type="character" w:customStyle="1" w:styleId="Heading2Char">
    <w:name w:val="Heading 2 Char"/>
    <w:basedOn w:val="DefaultParagraphFont"/>
    <w:link w:val="Heading2"/>
    <w:rsid w:val="006C657E"/>
    <w:rPr>
      <w:rFonts w:ascii="Arial" w:eastAsia="Times New Roman" w:hAnsi="Arial" w:cs="Arial"/>
      <w:b/>
      <w:bCs/>
      <w:iCs/>
      <w:sz w:val="24"/>
      <w:szCs w:val="24"/>
      <w:lang w:eastAsia="en-US"/>
    </w:rPr>
  </w:style>
  <w:style w:type="character" w:customStyle="1" w:styleId="Heading3Char">
    <w:name w:val="Heading 3 Char"/>
    <w:basedOn w:val="DefaultParagraphFont"/>
    <w:link w:val="Heading3"/>
    <w:rsid w:val="006E4F7E"/>
    <w:rPr>
      <w:rFonts w:ascii="Arial" w:hAnsi="Arial" w:cs="Arial"/>
      <w:i/>
      <w:sz w:val="22"/>
      <w:szCs w:val="22"/>
      <w:lang w:eastAsia="en-US"/>
    </w:rPr>
  </w:style>
  <w:style w:type="character" w:customStyle="1" w:styleId="Heading4Char">
    <w:name w:val="Heading 4 Char"/>
    <w:basedOn w:val="DefaultParagraphFont"/>
    <w:link w:val="Heading4"/>
    <w:rsid w:val="00C931F0"/>
    <w:rPr>
      <w:rFonts w:ascii="Arial" w:eastAsia="Times New Roman" w:hAnsi="Arial" w:cs="Arial"/>
      <w:i/>
      <w:sz w:val="22"/>
      <w:szCs w:val="22"/>
      <w:lang w:val="en-US" w:eastAsia="en-US"/>
    </w:rPr>
  </w:style>
  <w:style w:type="character" w:customStyle="1" w:styleId="Heading5Char">
    <w:name w:val="Heading 5 Char"/>
    <w:basedOn w:val="DefaultParagraphFont"/>
    <w:link w:val="Heading5"/>
    <w:rsid w:val="00504F69"/>
    <w:rPr>
      <w:rFonts w:ascii="Calibri" w:eastAsia="Times New Roman" w:hAnsi="Calibri" w:cs="Times New Roman"/>
      <w:b/>
      <w:bCs/>
      <w:i/>
      <w:iCs/>
      <w:sz w:val="26"/>
      <w:szCs w:val="26"/>
      <w:lang w:eastAsia="en-US"/>
    </w:rPr>
  </w:style>
  <w:style w:type="character" w:styleId="Hyperlink">
    <w:name w:val="Hyperlink"/>
    <w:basedOn w:val="DefaultParagraphFont"/>
    <w:uiPriority w:val="99"/>
    <w:semiHidden/>
    <w:unhideWhenUsed/>
    <w:rsid w:val="0062627B"/>
    <w:rPr>
      <w:color w:val="0000FF"/>
      <w:u w:val="single"/>
    </w:rPr>
  </w:style>
  <w:style w:type="character" w:customStyle="1" w:styleId="citation">
    <w:name w:val="citation"/>
    <w:basedOn w:val="DefaultParagraphFont"/>
    <w:rsid w:val="00D96060"/>
  </w:style>
  <w:style w:type="paragraph" w:styleId="Header">
    <w:name w:val="header"/>
    <w:basedOn w:val="Normal"/>
    <w:link w:val="HeaderChar"/>
    <w:uiPriority w:val="99"/>
    <w:unhideWhenUsed/>
    <w:rsid w:val="008054D5"/>
    <w:pPr>
      <w:tabs>
        <w:tab w:val="center" w:pos="4513"/>
        <w:tab w:val="right" w:pos="9026"/>
      </w:tabs>
    </w:pPr>
  </w:style>
  <w:style w:type="character" w:customStyle="1" w:styleId="HeaderChar">
    <w:name w:val="Header Char"/>
    <w:basedOn w:val="DefaultParagraphFont"/>
    <w:link w:val="Header"/>
    <w:uiPriority w:val="99"/>
    <w:rsid w:val="008054D5"/>
    <w:rPr>
      <w:rFonts w:ascii="Arial" w:hAnsi="Arial" w:cs="Calibri"/>
      <w:lang w:eastAsia="en-US"/>
    </w:rPr>
  </w:style>
  <w:style w:type="paragraph" w:styleId="Footer">
    <w:name w:val="footer"/>
    <w:basedOn w:val="Normal"/>
    <w:link w:val="FooterChar"/>
    <w:uiPriority w:val="99"/>
    <w:unhideWhenUsed/>
    <w:rsid w:val="008054D5"/>
    <w:pPr>
      <w:tabs>
        <w:tab w:val="center" w:pos="4513"/>
        <w:tab w:val="right" w:pos="9026"/>
      </w:tabs>
    </w:pPr>
  </w:style>
  <w:style w:type="character" w:customStyle="1" w:styleId="FooterChar">
    <w:name w:val="Footer Char"/>
    <w:basedOn w:val="DefaultParagraphFont"/>
    <w:link w:val="Footer"/>
    <w:uiPriority w:val="99"/>
    <w:rsid w:val="008054D5"/>
    <w:rPr>
      <w:rFonts w:ascii="Arial" w:hAnsi="Arial" w:cs="Calibri"/>
      <w:lang w:eastAsia="en-US"/>
    </w:rPr>
  </w:style>
  <w:style w:type="paragraph" w:styleId="NormalWeb">
    <w:name w:val="Normal (Web)"/>
    <w:basedOn w:val="Normal"/>
    <w:semiHidden/>
    <w:rsid w:val="004F7314"/>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odyText">
    <w:name w:val="Body Text"/>
    <w:basedOn w:val="Normal"/>
    <w:link w:val="BodyTextChar"/>
    <w:semiHidden/>
    <w:rsid w:val="004F7314"/>
    <w:pPr>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F7314"/>
    <w:rPr>
      <w:rFonts w:ascii="Times New Roman" w:eastAsia="Times New Roman" w:hAnsi="Times New Roman"/>
      <w:sz w:val="24"/>
      <w:szCs w:val="24"/>
      <w:lang w:eastAsia="en-US"/>
    </w:rPr>
  </w:style>
  <w:style w:type="paragraph" w:customStyle="1" w:styleId="text">
    <w:name w:val="text"/>
    <w:basedOn w:val="Normal"/>
    <w:rsid w:val="004F731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F7314"/>
  </w:style>
  <w:style w:type="character" w:customStyle="1" w:styleId="apple-style-span">
    <w:name w:val="apple-style-span"/>
    <w:basedOn w:val="DefaultParagraphFont"/>
    <w:rsid w:val="004F7314"/>
  </w:style>
  <w:style w:type="paragraph" w:styleId="Title">
    <w:name w:val="Title"/>
    <w:basedOn w:val="Normal"/>
    <w:link w:val="TitleChar"/>
    <w:qFormat/>
    <w:locked/>
    <w:rsid w:val="0016497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64974"/>
    <w:rPr>
      <w:rFonts w:ascii="Times New Roman" w:eastAsia="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69"/>
    <w:pPr>
      <w:spacing w:after="200" w:line="276" w:lineRule="auto"/>
      <w:jc w:val="both"/>
    </w:pPr>
    <w:rPr>
      <w:rFonts w:ascii="Arial" w:hAnsi="Arial" w:cs="Calibri"/>
      <w:sz w:val="22"/>
      <w:szCs w:val="22"/>
      <w:lang w:eastAsia="en-US"/>
    </w:rPr>
  </w:style>
  <w:style w:type="paragraph" w:styleId="Heading1">
    <w:name w:val="heading 1"/>
    <w:basedOn w:val="Heading2"/>
    <w:next w:val="Normal"/>
    <w:link w:val="Heading1Char"/>
    <w:qFormat/>
    <w:locked/>
    <w:rsid w:val="006C657E"/>
    <w:pPr>
      <w:spacing w:before="0" w:after="0"/>
      <w:outlineLvl w:val="0"/>
    </w:pPr>
    <w:rPr>
      <w:sz w:val="28"/>
      <w:szCs w:val="28"/>
    </w:rPr>
  </w:style>
  <w:style w:type="paragraph" w:styleId="Heading2">
    <w:name w:val="heading 2"/>
    <w:basedOn w:val="Normal"/>
    <w:next w:val="Normal"/>
    <w:link w:val="Heading2Char"/>
    <w:unhideWhenUsed/>
    <w:qFormat/>
    <w:locked/>
    <w:rsid w:val="006C657E"/>
    <w:pPr>
      <w:keepNext/>
      <w:spacing w:before="240" w:after="60"/>
      <w:outlineLvl w:val="1"/>
    </w:pPr>
    <w:rPr>
      <w:rFonts w:eastAsia="Times New Roman" w:cs="Arial"/>
      <w:b/>
      <w:bCs/>
      <w:iCs/>
      <w:sz w:val="24"/>
      <w:szCs w:val="24"/>
    </w:rPr>
  </w:style>
  <w:style w:type="paragraph" w:styleId="Heading3">
    <w:name w:val="heading 3"/>
    <w:basedOn w:val="Normal"/>
    <w:next w:val="Normal"/>
    <w:link w:val="Heading3Char"/>
    <w:unhideWhenUsed/>
    <w:qFormat/>
    <w:locked/>
    <w:rsid w:val="006E4F7E"/>
    <w:pPr>
      <w:spacing w:after="120"/>
      <w:outlineLvl w:val="2"/>
    </w:pPr>
    <w:rPr>
      <w:rFonts w:cs="Arial"/>
      <w:i/>
    </w:rPr>
  </w:style>
  <w:style w:type="paragraph" w:styleId="Heading4">
    <w:name w:val="heading 4"/>
    <w:basedOn w:val="text"/>
    <w:next w:val="Normal"/>
    <w:link w:val="Heading4Char"/>
    <w:unhideWhenUsed/>
    <w:qFormat/>
    <w:locked/>
    <w:rsid w:val="00C931F0"/>
    <w:pPr>
      <w:numPr>
        <w:numId w:val="34"/>
      </w:numPr>
      <w:spacing w:line="276" w:lineRule="auto"/>
      <w:jc w:val="both"/>
      <w:outlineLvl w:val="3"/>
    </w:pPr>
    <w:rPr>
      <w:rFonts w:ascii="Arial" w:hAnsi="Arial" w:cs="Arial"/>
      <w:i/>
      <w:sz w:val="22"/>
      <w:szCs w:val="22"/>
    </w:rPr>
  </w:style>
  <w:style w:type="paragraph" w:styleId="Heading5">
    <w:name w:val="heading 5"/>
    <w:basedOn w:val="Normal"/>
    <w:next w:val="Normal"/>
    <w:link w:val="Heading5Char"/>
    <w:unhideWhenUsed/>
    <w:qFormat/>
    <w:locked/>
    <w:rsid w:val="00504F69"/>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A8C"/>
    <w:rPr>
      <w:rFonts w:ascii="Tahoma" w:hAnsi="Tahoma" w:cs="Tahoma"/>
      <w:sz w:val="16"/>
      <w:szCs w:val="16"/>
    </w:rPr>
  </w:style>
  <w:style w:type="paragraph" w:styleId="ListParagraph">
    <w:name w:val="List Paragraph"/>
    <w:basedOn w:val="Normal"/>
    <w:uiPriority w:val="99"/>
    <w:qFormat/>
    <w:rsid w:val="00361622"/>
    <w:pPr>
      <w:ind w:left="720"/>
    </w:pPr>
  </w:style>
  <w:style w:type="table" w:styleId="TableGrid">
    <w:name w:val="Table Grid"/>
    <w:basedOn w:val="TableNormal"/>
    <w:uiPriority w:val="99"/>
    <w:rsid w:val="00FF0C4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C657E"/>
    <w:rPr>
      <w:rFonts w:ascii="Arial" w:eastAsia="Times New Roman" w:hAnsi="Arial" w:cs="Arial"/>
      <w:b/>
      <w:bCs/>
      <w:iCs/>
      <w:sz w:val="28"/>
      <w:szCs w:val="28"/>
      <w:lang w:eastAsia="en-US"/>
    </w:rPr>
  </w:style>
  <w:style w:type="character" w:customStyle="1" w:styleId="Heading2Char">
    <w:name w:val="Heading 2 Char"/>
    <w:basedOn w:val="DefaultParagraphFont"/>
    <w:link w:val="Heading2"/>
    <w:rsid w:val="006C657E"/>
    <w:rPr>
      <w:rFonts w:ascii="Arial" w:eastAsia="Times New Roman" w:hAnsi="Arial" w:cs="Arial"/>
      <w:b/>
      <w:bCs/>
      <w:iCs/>
      <w:sz w:val="24"/>
      <w:szCs w:val="24"/>
      <w:lang w:eastAsia="en-US"/>
    </w:rPr>
  </w:style>
  <w:style w:type="character" w:customStyle="1" w:styleId="Heading3Char">
    <w:name w:val="Heading 3 Char"/>
    <w:basedOn w:val="DefaultParagraphFont"/>
    <w:link w:val="Heading3"/>
    <w:rsid w:val="006E4F7E"/>
    <w:rPr>
      <w:rFonts w:ascii="Arial" w:hAnsi="Arial" w:cs="Arial"/>
      <w:i/>
      <w:sz w:val="22"/>
      <w:szCs w:val="22"/>
      <w:lang w:eastAsia="en-US"/>
    </w:rPr>
  </w:style>
  <w:style w:type="character" w:customStyle="1" w:styleId="Heading4Char">
    <w:name w:val="Heading 4 Char"/>
    <w:basedOn w:val="DefaultParagraphFont"/>
    <w:link w:val="Heading4"/>
    <w:rsid w:val="00C931F0"/>
    <w:rPr>
      <w:rFonts w:ascii="Arial" w:eastAsia="Times New Roman" w:hAnsi="Arial" w:cs="Arial"/>
      <w:i/>
      <w:sz w:val="22"/>
      <w:szCs w:val="22"/>
      <w:lang w:val="en-US" w:eastAsia="en-US"/>
    </w:rPr>
  </w:style>
  <w:style w:type="character" w:customStyle="1" w:styleId="Heading5Char">
    <w:name w:val="Heading 5 Char"/>
    <w:basedOn w:val="DefaultParagraphFont"/>
    <w:link w:val="Heading5"/>
    <w:rsid w:val="00504F69"/>
    <w:rPr>
      <w:rFonts w:ascii="Calibri" w:eastAsia="Times New Roman" w:hAnsi="Calibri" w:cs="Times New Roman"/>
      <w:b/>
      <w:bCs/>
      <w:i/>
      <w:iCs/>
      <w:sz w:val="26"/>
      <w:szCs w:val="26"/>
      <w:lang w:eastAsia="en-US"/>
    </w:rPr>
  </w:style>
  <w:style w:type="character" w:styleId="Hyperlink">
    <w:name w:val="Hyperlink"/>
    <w:basedOn w:val="DefaultParagraphFont"/>
    <w:uiPriority w:val="99"/>
    <w:semiHidden/>
    <w:unhideWhenUsed/>
    <w:rsid w:val="0062627B"/>
    <w:rPr>
      <w:color w:val="0000FF"/>
      <w:u w:val="single"/>
    </w:rPr>
  </w:style>
  <w:style w:type="character" w:customStyle="1" w:styleId="citation">
    <w:name w:val="citation"/>
    <w:basedOn w:val="DefaultParagraphFont"/>
    <w:rsid w:val="00D96060"/>
  </w:style>
  <w:style w:type="paragraph" w:styleId="Header">
    <w:name w:val="header"/>
    <w:basedOn w:val="Normal"/>
    <w:link w:val="HeaderChar"/>
    <w:uiPriority w:val="99"/>
    <w:unhideWhenUsed/>
    <w:rsid w:val="008054D5"/>
    <w:pPr>
      <w:tabs>
        <w:tab w:val="center" w:pos="4513"/>
        <w:tab w:val="right" w:pos="9026"/>
      </w:tabs>
    </w:pPr>
  </w:style>
  <w:style w:type="character" w:customStyle="1" w:styleId="HeaderChar">
    <w:name w:val="Header Char"/>
    <w:basedOn w:val="DefaultParagraphFont"/>
    <w:link w:val="Header"/>
    <w:uiPriority w:val="99"/>
    <w:rsid w:val="008054D5"/>
    <w:rPr>
      <w:rFonts w:ascii="Arial" w:hAnsi="Arial" w:cs="Calibri"/>
      <w:lang w:eastAsia="en-US"/>
    </w:rPr>
  </w:style>
  <w:style w:type="paragraph" w:styleId="Footer">
    <w:name w:val="footer"/>
    <w:basedOn w:val="Normal"/>
    <w:link w:val="FooterChar"/>
    <w:uiPriority w:val="99"/>
    <w:unhideWhenUsed/>
    <w:rsid w:val="008054D5"/>
    <w:pPr>
      <w:tabs>
        <w:tab w:val="center" w:pos="4513"/>
        <w:tab w:val="right" w:pos="9026"/>
      </w:tabs>
    </w:pPr>
  </w:style>
  <w:style w:type="character" w:customStyle="1" w:styleId="FooterChar">
    <w:name w:val="Footer Char"/>
    <w:basedOn w:val="DefaultParagraphFont"/>
    <w:link w:val="Footer"/>
    <w:uiPriority w:val="99"/>
    <w:rsid w:val="008054D5"/>
    <w:rPr>
      <w:rFonts w:ascii="Arial" w:hAnsi="Arial" w:cs="Calibri"/>
      <w:lang w:eastAsia="en-US"/>
    </w:rPr>
  </w:style>
  <w:style w:type="paragraph" w:styleId="NormalWeb">
    <w:name w:val="Normal (Web)"/>
    <w:basedOn w:val="Normal"/>
    <w:semiHidden/>
    <w:rsid w:val="004F7314"/>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odyText">
    <w:name w:val="Body Text"/>
    <w:basedOn w:val="Normal"/>
    <w:link w:val="BodyTextChar"/>
    <w:semiHidden/>
    <w:rsid w:val="004F7314"/>
    <w:pPr>
      <w:spacing w:after="0" w:line="36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F7314"/>
    <w:rPr>
      <w:rFonts w:ascii="Times New Roman" w:eastAsia="Times New Roman" w:hAnsi="Times New Roman"/>
      <w:sz w:val="24"/>
      <w:szCs w:val="24"/>
      <w:lang w:eastAsia="en-US"/>
    </w:rPr>
  </w:style>
  <w:style w:type="paragraph" w:customStyle="1" w:styleId="text">
    <w:name w:val="text"/>
    <w:basedOn w:val="Normal"/>
    <w:rsid w:val="004F731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F7314"/>
  </w:style>
  <w:style w:type="character" w:customStyle="1" w:styleId="apple-style-span">
    <w:name w:val="apple-style-span"/>
    <w:basedOn w:val="DefaultParagraphFont"/>
    <w:rsid w:val="004F7314"/>
  </w:style>
  <w:style w:type="paragraph" w:styleId="Title">
    <w:name w:val="Title"/>
    <w:basedOn w:val="Normal"/>
    <w:link w:val="TitleChar"/>
    <w:qFormat/>
    <w:locked/>
    <w:rsid w:val="0016497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64974"/>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3997">
      <w:bodyDiv w:val="1"/>
      <w:marLeft w:val="0"/>
      <w:marRight w:val="0"/>
      <w:marTop w:val="0"/>
      <w:marBottom w:val="0"/>
      <w:divBdr>
        <w:top w:val="none" w:sz="0" w:space="0" w:color="auto"/>
        <w:left w:val="none" w:sz="0" w:space="0" w:color="auto"/>
        <w:bottom w:val="none" w:sz="0" w:space="0" w:color="auto"/>
        <w:right w:val="none" w:sz="0" w:space="0" w:color="auto"/>
      </w:divBdr>
      <w:divsChild>
        <w:div w:id="2083258449">
          <w:marLeft w:val="274"/>
          <w:marRight w:val="0"/>
          <w:marTop w:val="0"/>
          <w:marBottom w:val="0"/>
          <w:divBdr>
            <w:top w:val="none" w:sz="0" w:space="0" w:color="auto"/>
            <w:left w:val="none" w:sz="0" w:space="0" w:color="auto"/>
            <w:bottom w:val="none" w:sz="0" w:space="0" w:color="auto"/>
            <w:right w:val="none" w:sz="0" w:space="0" w:color="auto"/>
          </w:divBdr>
        </w:div>
        <w:div w:id="54671922">
          <w:marLeft w:val="288"/>
          <w:marRight w:val="0"/>
          <w:marTop w:val="0"/>
          <w:marBottom w:val="0"/>
          <w:divBdr>
            <w:top w:val="none" w:sz="0" w:space="0" w:color="auto"/>
            <w:left w:val="none" w:sz="0" w:space="0" w:color="auto"/>
            <w:bottom w:val="none" w:sz="0" w:space="0" w:color="auto"/>
            <w:right w:val="none" w:sz="0" w:space="0" w:color="auto"/>
          </w:divBdr>
        </w:div>
        <w:div w:id="1928878184">
          <w:marLeft w:val="288"/>
          <w:marRight w:val="0"/>
          <w:marTop w:val="0"/>
          <w:marBottom w:val="0"/>
          <w:divBdr>
            <w:top w:val="none" w:sz="0" w:space="0" w:color="auto"/>
            <w:left w:val="none" w:sz="0" w:space="0" w:color="auto"/>
            <w:bottom w:val="none" w:sz="0" w:space="0" w:color="auto"/>
            <w:right w:val="none" w:sz="0" w:space="0" w:color="auto"/>
          </w:divBdr>
        </w:div>
        <w:div w:id="1878590520">
          <w:marLeft w:val="288"/>
          <w:marRight w:val="0"/>
          <w:marTop w:val="0"/>
          <w:marBottom w:val="0"/>
          <w:divBdr>
            <w:top w:val="none" w:sz="0" w:space="0" w:color="auto"/>
            <w:left w:val="none" w:sz="0" w:space="0" w:color="auto"/>
            <w:bottom w:val="none" w:sz="0" w:space="0" w:color="auto"/>
            <w:right w:val="none" w:sz="0" w:space="0" w:color="auto"/>
          </w:divBdr>
        </w:div>
        <w:div w:id="797144218">
          <w:marLeft w:val="288"/>
          <w:marRight w:val="0"/>
          <w:marTop w:val="0"/>
          <w:marBottom w:val="0"/>
          <w:divBdr>
            <w:top w:val="none" w:sz="0" w:space="0" w:color="auto"/>
            <w:left w:val="none" w:sz="0" w:space="0" w:color="auto"/>
            <w:bottom w:val="none" w:sz="0" w:space="0" w:color="auto"/>
            <w:right w:val="none" w:sz="0" w:space="0" w:color="auto"/>
          </w:divBdr>
        </w:div>
        <w:div w:id="1678118559">
          <w:marLeft w:val="288"/>
          <w:marRight w:val="0"/>
          <w:marTop w:val="0"/>
          <w:marBottom w:val="0"/>
          <w:divBdr>
            <w:top w:val="none" w:sz="0" w:space="0" w:color="auto"/>
            <w:left w:val="none" w:sz="0" w:space="0" w:color="auto"/>
            <w:bottom w:val="none" w:sz="0" w:space="0" w:color="auto"/>
            <w:right w:val="none" w:sz="0" w:space="0" w:color="auto"/>
          </w:divBdr>
        </w:div>
      </w:divsChild>
    </w:div>
    <w:div w:id="233009844">
      <w:bodyDiv w:val="1"/>
      <w:marLeft w:val="0"/>
      <w:marRight w:val="0"/>
      <w:marTop w:val="0"/>
      <w:marBottom w:val="0"/>
      <w:divBdr>
        <w:top w:val="none" w:sz="0" w:space="0" w:color="auto"/>
        <w:left w:val="none" w:sz="0" w:space="0" w:color="auto"/>
        <w:bottom w:val="none" w:sz="0" w:space="0" w:color="auto"/>
        <w:right w:val="none" w:sz="0" w:space="0" w:color="auto"/>
      </w:divBdr>
      <w:divsChild>
        <w:div w:id="603615424">
          <w:marLeft w:val="562"/>
          <w:marRight w:val="0"/>
          <w:marTop w:val="0"/>
          <w:marBottom w:val="0"/>
          <w:divBdr>
            <w:top w:val="none" w:sz="0" w:space="0" w:color="auto"/>
            <w:left w:val="none" w:sz="0" w:space="0" w:color="auto"/>
            <w:bottom w:val="none" w:sz="0" w:space="0" w:color="auto"/>
            <w:right w:val="none" w:sz="0" w:space="0" w:color="auto"/>
          </w:divBdr>
        </w:div>
      </w:divsChild>
    </w:div>
    <w:div w:id="1672680693">
      <w:bodyDiv w:val="1"/>
      <w:marLeft w:val="0"/>
      <w:marRight w:val="0"/>
      <w:marTop w:val="0"/>
      <w:marBottom w:val="0"/>
      <w:divBdr>
        <w:top w:val="none" w:sz="0" w:space="0" w:color="auto"/>
        <w:left w:val="none" w:sz="0" w:space="0" w:color="auto"/>
        <w:bottom w:val="none" w:sz="0" w:space="0" w:color="auto"/>
        <w:right w:val="none" w:sz="0" w:space="0" w:color="auto"/>
      </w:divBdr>
      <w:divsChild>
        <w:div w:id="1960599072">
          <w:marLeft w:val="288"/>
          <w:marRight w:val="0"/>
          <w:marTop w:val="0"/>
          <w:marBottom w:val="0"/>
          <w:divBdr>
            <w:top w:val="none" w:sz="0" w:space="0" w:color="auto"/>
            <w:left w:val="none" w:sz="0" w:space="0" w:color="auto"/>
            <w:bottom w:val="none" w:sz="0" w:space="0" w:color="auto"/>
            <w:right w:val="none" w:sz="0" w:space="0" w:color="auto"/>
          </w:divBdr>
        </w:div>
        <w:div w:id="350764689">
          <w:marLeft w:val="288"/>
          <w:marRight w:val="0"/>
          <w:marTop w:val="0"/>
          <w:marBottom w:val="0"/>
          <w:divBdr>
            <w:top w:val="none" w:sz="0" w:space="0" w:color="auto"/>
            <w:left w:val="none" w:sz="0" w:space="0" w:color="auto"/>
            <w:bottom w:val="none" w:sz="0" w:space="0" w:color="auto"/>
            <w:right w:val="none" w:sz="0" w:space="0" w:color="auto"/>
          </w:divBdr>
        </w:div>
        <w:div w:id="560218678">
          <w:marLeft w:val="288"/>
          <w:marRight w:val="0"/>
          <w:marTop w:val="0"/>
          <w:marBottom w:val="0"/>
          <w:divBdr>
            <w:top w:val="none" w:sz="0" w:space="0" w:color="auto"/>
            <w:left w:val="none" w:sz="0" w:space="0" w:color="auto"/>
            <w:bottom w:val="none" w:sz="0" w:space="0" w:color="auto"/>
            <w:right w:val="none" w:sz="0" w:space="0" w:color="auto"/>
          </w:divBdr>
        </w:div>
        <w:div w:id="81536327">
          <w:marLeft w:val="288"/>
          <w:marRight w:val="0"/>
          <w:marTop w:val="0"/>
          <w:marBottom w:val="0"/>
          <w:divBdr>
            <w:top w:val="none" w:sz="0" w:space="0" w:color="auto"/>
            <w:left w:val="none" w:sz="0" w:space="0" w:color="auto"/>
            <w:bottom w:val="none" w:sz="0" w:space="0" w:color="auto"/>
            <w:right w:val="none" w:sz="0" w:space="0" w:color="auto"/>
          </w:divBdr>
        </w:div>
        <w:div w:id="1830174013">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nf.org/bnf/bnf/current/3215.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nf.org/bnf/bnf/current/6557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nf.org/bnf/bnf/current/3250.htm" TargetMode="External"/><Relationship Id="rId5" Type="http://schemas.openxmlformats.org/officeDocument/2006/relationships/settings" Target="settings.xml"/><Relationship Id="rId15" Type="http://schemas.openxmlformats.org/officeDocument/2006/relationships/hyperlink" Target="http://bnf.org/bnf/bnf/current/3248.htm" TargetMode="External"/><Relationship Id="rId10" Type="http://schemas.openxmlformats.org/officeDocument/2006/relationships/hyperlink" Target="http://bnf.org/bnf/bnf/current/3224.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nf.org/bnf/bnf/current/569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AEAD-E223-41F6-897B-D81D33A2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2883</Words>
  <Characters>16438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Sohag</dc:creator>
  <cp:lastModifiedBy>feo38</cp:lastModifiedBy>
  <cp:revision>2</cp:revision>
  <cp:lastPrinted>2013-04-24T11:53:00Z</cp:lastPrinted>
  <dcterms:created xsi:type="dcterms:W3CDTF">2013-05-08T10:44:00Z</dcterms:created>
  <dcterms:modified xsi:type="dcterms:W3CDTF">2013-05-08T10:44:00Z</dcterms:modified>
</cp:coreProperties>
</file>