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14" w:rsidRPr="006C657E" w:rsidRDefault="002A3D13" w:rsidP="003C1540">
      <w:pPr>
        <w:pStyle w:val="Heading1"/>
      </w:pPr>
      <w:r>
        <w:t>Cytotoxic drugs</w:t>
      </w:r>
    </w:p>
    <w:p w:rsidR="0028747D" w:rsidRDefault="00E75442" w:rsidP="00AE28F6">
      <w:pPr>
        <w:pStyle w:val="Heading2"/>
        <w:spacing w:after="120"/>
      </w:pPr>
      <w:r>
        <w:t>Update</w:t>
      </w:r>
      <w:r w:rsidR="00254A21">
        <w:t>d</w:t>
      </w:r>
      <w:r>
        <w:t xml:space="preserve"> l</w:t>
      </w:r>
      <w:r w:rsidR="0028747D">
        <w:t>earning objectives</w:t>
      </w:r>
    </w:p>
    <w:p w:rsidR="00893CB9" w:rsidRDefault="00893CB9" w:rsidP="00822BCF">
      <w:pPr>
        <w:pStyle w:val="Title"/>
        <w:numPr>
          <w:ilvl w:val="0"/>
          <w:numId w:val="1"/>
        </w:numPr>
        <w:spacing w:after="120"/>
        <w:ind w:left="709" w:hanging="567"/>
        <w:jc w:val="left"/>
        <w:rPr>
          <w:rFonts w:ascii="Arial" w:hAnsi="Arial" w:cs="Arial"/>
          <w:b w:val="0"/>
          <w:sz w:val="22"/>
          <w:szCs w:val="24"/>
        </w:rPr>
      </w:pPr>
      <w:r w:rsidRPr="00893CB9">
        <w:rPr>
          <w:rFonts w:ascii="Arial" w:hAnsi="Arial" w:cs="Arial"/>
          <w:b w:val="0"/>
          <w:sz w:val="22"/>
          <w:szCs w:val="24"/>
        </w:rPr>
        <w:t>Summarise the epidemiological findings and main hallmarks of cancer</w:t>
      </w:r>
    </w:p>
    <w:p w:rsidR="006271CB" w:rsidRPr="006271CB" w:rsidRDefault="00D06EDC" w:rsidP="00822BCF">
      <w:pPr>
        <w:pStyle w:val="Title"/>
        <w:numPr>
          <w:ilvl w:val="0"/>
          <w:numId w:val="1"/>
        </w:numPr>
        <w:spacing w:after="120"/>
        <w:ind w:left="709" w:hanging="567"/>
        <w:jc w:val="left"/>
        <w:rPr>
          <w:rFonts w:ascii="Arial" w:hAnsi="Arial" w:cs="Arial"/>
          <w:b w:val="0"/>
          <w:sz w:val="22"/>
          <w:szCs w:val="24"/>
        </w:rPr>
      </w:pPr>
      <w:r>
        <w:rPr>
          <w:rFonts w:ascii="Arial" w:hAnsi="Arial" w:cs="Arial"/>
          <w:b w:val="0"/>
          <w:sz w:val="22"/>
          <w:szCs w:val="24"/>
        </w:rPr>
        <w:t xml:space="preserve">Describe </w:t>
      </w:r>
      <w:r w:rsidR="00A07286">
        <w:rPr>
          <w:rFonts w:ascii="Arial" w:hAnsi="Arial" w:cs="Arial"/>
          <w:b w:val="0"/>
          <w:sz w:val="22"/>
          <w:szCs w:val="24"/>
        </w:rPr>
        <w:t>the actions of drugs used for adjuvant chemotherapy of colorectal cancer</w:t>
      </w:r>
    </w:p>
    <w:p w:rsidR="00A07286" w:rsidRPr="006271CB" w:rsidRDefault="00A07286" w:rsidP="00A07286">
      <w:pPr>
        <w:pStyle w:val="Title"/>
        <w:numPr>
          <w:ilvl w:val="0"/>
          <w:numId w:val="1"/>
        </w:numPr>
        <w:spacing w:after="120"/>
        <w:ind w:left="709" w:hanging="567"/>
        <w:jc w:val="left"/>
        <w:rPr>
          <w:rFonts w:ascii="Arial" w:hAnsi="Arial" w:cs="Arial"/>
          <w:b w:val="0"/>
          <w:sz w:val="22"/>
          <w:szCs w:val="24"/>
        </w:rPr>
      </w:pPr>
      <w:r>
        <w:rPr>
          <w:rFonts w:ascii="Arial" w:hAnsi="Arial" w:cs="Arial"/>
          <w:b w:val="0"/>
          <w:sz w:val="22"/>
          <w:szCs w:val="24"/>
        </w:rPr>
        <w:t>Describe the actions of drugs used for adjuvant chemotherapy of early non-small cell lung cancer</w:t>
      </w:r>
    </w:p>
    <w:p w:rsidR="00A07286" w:rsidRPr="006271CB" w:rsidRDefault="00A07286" w:rsidP="00A07286">
      <w:pPr>
        <w:pStyle w:val="Title"/>
        <w:numPr>
          <w:ilvl w:val="0"/>
          <w:numId w:val="1"/>
        </w:numPr>
        <w:spacing w:after="120"/>
        <w:ind w:left="709" w:hanging="567"/>
        <w:jc w:val="left"/>
        <w:rPr>
          <w:rFonts w:ascii="Arial" w:hAnsi="Arial" w:cs="Arial"/>
          <w:b w:val="0"/>
          <w:sz w:val="22"/>
          <w:szCs w:val="24"/>
        </w:rPr>
      </w:pPr>
      <w:r>
        <w:rPr>
          <w:rFonts w:ascii="Arial" w:hAnsi="Arial" w:cs="Arial"/>
          <w:b w:val="0"/>
          <w:sz w:val="22"/>
          <w:szCs w:val="24"/>
        </w:rPr>
        <w:t xml:space="preserve">Describe the actions of drugs used for </w:t>
      </w:r>
      <w:r w:rsidR="00893CB9">
        <w:rPr>
          <w:rFonts w:ascii="Arial" w:hAnsi="Arial" w:cs="Arial"/>
          <w:b w:val="0"/>
          <w:sz w:val="22"/>
          <w:szCs w:val="24"/>
        </w:rPr>
        <w:t xml:space="preserve">treatment of </w:t>
      </w:r>
      <w:r>
        <w:rPr>
          <w:rFonts w:ascii="Arial" w:hAnsi="Arial" w:cs="Arial"/>
          <w:b w:val="0"/>
          <w:sz w:val="22"/>
          <w:szCs w:val="24"/>
        </w:rPr>
        <w:t>ad</w:t>
      </w:r>
      <w:r w:rsidR="00893CB9">
        <w:rPr>
          <w:rFonts w:ascii="Arial" w:hAnsi="Arial" w:cs="Arial"/>
          <w:b w:val="0"/>
          <w:sz w:val="22"/>
          <w:szCs w:val="24"/>
        </w:rPr>
        <w:t>vanced</w:t>
      </w:r>
      <w:r>
        <w:rPr>
          <w:rFonts w:ascii="Arial" w:hAnsi="Arial" w:cs="Arial"/>
          <w:b w:val="0"/>
          <w:sz w:val="22"/>
          <w:szCs w:val="24"/>
        </w:rPr>
        <w:t xml:space="preserve"> non-small cell lung cancer</w:t>
      </w:r>
    </w:p>
    <w:p w:rsidR="00A07286" w:rsidRPr="006271CB" w:rsidRDefault="00A07286" w:rsidP="00A07286">
      <w:pPr>
        <w:pStyle w:val="Title"/>
        <w:numPr>
          <w:ilvl w:val="0"/>
          <w:numId w:val="1"/>
        </w:numPr>
        <w:spacing w:after="120"/>
        <w:ind w:left="709" w:hanging="567"/>
        <w:jc w:val="left"/>
        <w:rPr>
          <w:rFonts w:ascii="Arial" w:hAnsi="Arial" w:cs="Arial"/>
          <w:b w:val="0"/>
          <w:sz w:val="22"/>
          <w:szCs w:val="24"/>
        </w:rPr>
      </w:pPr>
      <w:r>
        <w:rPr>
          <w:rFonts w:ascii="Arial" w:hAnsi="Arial" w:cs="Arial"/>
          <w:b w:val="0"/>
          <w:sz w:val="22"/>
          <w:szCs w:val="24"/>
        </w:rPr>
        <w:t>Describe the actions of the cytotoxic drugs used for adjuvant chemotherapy of breast cancer</w:t>
      </w:r>
    </w:p>
    <w:p w:rsidR="00164974" w:rsidRDefault="00A07286" w:rsidP="00822BCF">
      <w:pPr>
        <w:pStyle w:val="Title"/>
        <w:numPr>
          <w:ilvl w:val="0"/>
          <w:numId w:val="1"/>
        </w:numPr>
        <w:spacing w:after="120" w:line="276" w:lineRule="auto"/>
        <w:ind w:left="709" w:hanging="567"/>
        <w:jc w:val="left"/>
        <w:rPr>
          <w:rFonts w:ascii="Arial Narrow" w:hAnsi="Arial Narrow" w:cs="Arial"/>
          <w:b w:val="0"/>
          <w:sz w:val="22"/>
          <w:szCs w:val="24"/>
        </w:rPr>
      </w:pPr>
      <w:r>
        <w:rPr>
          <w:rFonts w:ascii="Arial" w:hAnsi="Arial" w:cs="Arial"/>
          <w:b w:val="0"/>
          <w:sz w:val="22"/>
          <w:szCs w:val="24"/>
        </w:rPr>
        <w:t>Summarise the different categories of cytotoxic drugs</w:t>
      </w:r>
    </w:p>
    <w:p w:rsidR="004F7314" w:rsidRPr="006C657E" w:rsidRDefault="002A3D13" w:rsidP="00DE01DE">
      <w:pPr>
        <w:pStyle w:val="Heading2"/>
      </w:pPr>
      <w:r>
        <w:t xml:space="preserve">Cancer </w:t>
      </w:r>
      <w:r w:rsidR="00CB048E">
        <w:t xml:space="preserve">Background &amp; </w:t>
      </w:r>
      <w:r>
        <w:t>Epidemiology</w:t>
      </w:r>
    </w:p>
    <w:p w:rsidR="00C462EE" w:rsidRDefault="00CB048E" w:rsidP="00C462EE">
      <w:pPr>
        <w:rPr>
          <w:rFonts w:cs="Arial"/>
        </w:rPr>
      </w:pPr>
      <w:r>
        <w:rPr>
          <w:rFonts w:cs="Arial"/>
        </w:rPr>
        <w:t>Cancer constitutes a group of conditions and can be defined as a disease that is caused by the uncontrolled proliferation and growth of abnormal cells.</w:t>
      </w:r>
      <w:r w:rsidR="001934E3">
        <w:rPr>
          <w:rFonts w:cs="Arial"/>
        </w:rPr>
        <w:t xml:space="preserve"> There are thought to be over 200 different types of cancer and their prevalence varies depending on a number of factors.</w:t>
      </w:r>
      <w:r w:rsidR="0075358D">
        <w:rPr>
          <w:rFonts w:cs="Arial"/>
        </w:rPr>
        <w:t xml:space="preserve"> Although it is generally thought that a cell only becomes cancerous due to multiple genetic mutations they are associated with typical ‘hallmarks’ as outlined by the seminal </w:t>
      </w:r>
      <w:proofErr w:type="spellStart"/>
      <w:r w:rsidR="0075358D">
        <w:rPr>
          <w:rFonts w:cs="Arial"/>
        </w:rPr>
        <w:t>Hanahan</w:t>
      </w:r>
      <w:proofErr w:type="spellEnd"/>
      <w:r w:rsidR="0075358D">
        <w:rPr>
          <w:rFonts w:cs="Arial"/>
        </w:rPr>
        <w:t xml:space="preserve"> &amp; Weinberg publication (2000) and updated in 2011.</w:t>
      </w:r>
      <w:r w:rsidR="004544C5">
        <w:rPr>
          <w:rFonts w:cs="Arial"/>
        </w:rPr>
        <w:t xml:space="preserve"> Discussion of these aspects is behind the scope of this lecture but readers should refer to the aforementioned article.</w:t>
      </w:r>
    </w:p>
    <w:p w:rsidR="004544C5" w:rsidRDefault="004544C5" w:rsidP="00C462EE">
      <w:pPr>
        <w:rPr>
          <w:rFonts w:cs="Arial"/>
        </w:rPr>
      </w:pPr>
      <w:r>
        <w:rPr>
          <w:rFonts w:cs="Arial"/>
        </w:rPr>
        <w:t>In terms of epidemiology a large analysis recently carried out by the American Cancer Society (2013) found that the four most commonly occurring forms of cancer were in the:</w:t>
      </w:r>
    </w:p>
    <w:p w:rsidR="004544C5" w:rsidRDefault="004544C5" w:rsidP="0069572D">
      <w:pPr>
        <w:pStyle w:val="ListParagraph"/>
        <w:numPr>
          <w:ilvl w:val="0"/>
          <w:numId w:val="25"/>
        </w:numPr>
        <w:spacing w:after="0"/>
        <w:ind w:left="777" w:hanging="357"/>
        <w:rPr>
          <w:rFonts w:cs="Arial"/>
        </w:rPr>
      </w:pPr>
      <w:r>
        <w:rPr>
          <w:rFonts w:cs="Arial"/>
        </w:rPr>
        <w:t>Digestive system (colorectal, pancreatic, liver stomach etc)</w:t>
      </w:r>
    </w:p>
    <w:p w:rsidR="004544C5" w:rsidRDefault="004544C5" w:rsidP="0069572D">
      <w:pPr>
        <w:pStyle w:val="ListParagraph"/>
        <w:numPr>
          <w:ilvl w:val="0"/>
          <w:numId w:val="25"/>
        </w:numPr>
        <w:spacing w:after="0"/>
        <w:ind w:left="777" w:hanging="357"/>
        <w:rPr>
          <w:rFonts w:cs="Arial"/>
        </w:rPr>
      </w:pPr>
      <w:r>
        <w:rPr>
          <w:rFonts w:cs="Arial"/>
        </w:rPr>
        <w:t>Respiratory system (lung cancer accounts for 90%)</w:t>
      </w:r>
    </w:p>
    <w:p w:rsidR="004544C5" w:rsidRDefault="004544C5" w:rsidP="0069572D">
      <w:pPr>
        <w:pStyle w:val="ListParagraph"/>
        <w:numPr>
          <w:ilvl w:val="0"/>
          <w:numId w:val="25"/>
        </w:numPr>
        <w:spacing w:after="0"/>
        <w:ind w:left="777" w:hanging="357"/>
        <w:rPr>
          <w:rFonts w:cs="Arial"/>
        </w:rPr>
      </w:pPr>
      <w:r>
        <w:rPr>
          <w:rFonts w:cs="Arial"/>
        </w:rPr>
        <w:t>Genitalia (prostate cancer accounts for 70%)</w:t>
      </w:r>
    </w:p>
    <w:p w:rsidR="004544C5" w:rsidRDefault="0069572D" w:rsidP="004B4932">
      <w:pPr>
        <w:pStyle w:val="ListParagraph"/>
        <w:numPr>
          <w:ilvl w:val="0"/>
          <w:numId w:val="25"/>
        </w:numPr>
        <w:spacing w:after="120"/>
        <w:ind w:left="777" w:hanging="357"/>
        <w:rPr>
          <w:rFonts w:cs="Arial"/>
        </w:rPr>
      </w:pPr>
      <w:r>
        <w:rPr>
          <w:rFonts w:cs="Arial"/>
        </w:rPr>
        <w:t>Breast (99% occurs in females)</w:t>
      </w:r>
    </w:p>
    <w:p w:rsidR="004B4932" w:rsidRDefault="004B4932" w:rsidP="004B4932">
      <w:pPr>
        <w:spacing w:after="0"/>
        <w:rPr>
          <w:rFonts w:cs="Arial"/>
        </w:rPr>
      </w:pPr>
      <w:r>
        <w:rPr>
          <w:rFonts w:cs="Arial"/>
        </w:rPr>
        <w:t xml:space="preserve">These statistics closely correlate with the most recent data from the United Kingdom where the same four systems accounted for more than 50% of </w:t>
      </w:r>
      <w:r w:rsidR="00E614BE">
        <w:rPr>
          <w:rFonts w:cs="Arial"/>
        </w:rPr>
        <w:t xml:space="preserve">the </w:t>
      </w:r>
      <w:r>
        <w:rPr>
          <w:rFonts w:cs="Arial"/>
        </w:rPr>
        <w:t xml:space="preserve">new cases each year. </w:t>
      </w:r>
    </w:p>
    <w:p w:rsidR="006F7F01" w:rsidRDefault="006F7F01" w:rsidP="004B4932">
      <w:pPr>
        <w:spacing w:after="0"/>
        <w:rPr>
          <w:rFonts w:cs="Arial"/>
        </w:rPr>
      </w:pPr>
      <w:r>
        <w:rPr>
          <w:rFonts w:cs="Arial"/>
        </w:rPr>
        <w:t>Although, the overall rates have significantly improved over the years, the prognosis varies between different types of cancer. For example, whilst the 5 year survival rates for prostate and breast cancer patients are around 80%</w:t>
      </w:r>
      <w:r w:rsidR="00A05D5E">
        <w:rPr>
          <w:rFonts w:cs="Arial"/>
        </w:rPr>
        <w:t xml:space="preserve">, the 5 year survival rates for pancreatic and oesophageal cancer are only 20%. </w:t>
      </w:r>
    </w:p>
    <w:p w:rsidR="00A95896" w:rsidRDefault="00AE55A5" w:rsidP="00AE55A5">
      <w:pPr>
        <w:spacing w:after="0"/>
        <w:rPr>
          <w:rFonts w:eastAsia="Times New Roman" w:cs="Arial"/>
          <w:b/>
          <w:bCs/>
          <w:iCs/>
          <w:sz w:val="24"/>
          <w:szCs w:val="24"/>
        </w:rPr>
      </w:pPr>
      <w:r>
        <w:rPr>
          <w:rFonts w:cs="Arial"/>
        </w:rPr>
        <w:t>The main staple of treatment for cancer is surgical resection and this can be accompanied by radiotherapy and/or adjuvant chemotherapy. The treatment schedule varies depending on the type cancer and the stage, which it has progressed to. The number of drugs available for the treatment of cancer is increasing at a steady rate, mainly due to the relaxation of regulatory procedures in the United States. In the UK there are currently almost 90 different drugs licensed for the treatment of cancer.</w:t>
      </w:r>
    </w:p>
    <w:p w:rsidR="00AE55A5" w:rsidRDefault="00AE55A5">
      <w:pPr>
        <w:spacing w:after="0" w:line="240" w:lineRule="auto"/>
        <w:jc w:val="left"/>
        <w:rPr>
          <w:rFonts w:eastAsia="Times New Roman" w:cs="Arial"/>
          <w:b/>
          <w:bCs/>
          <w:iCs/>
          <w:sz w:val="24"/>
          <w:szCs w:val="24"/>
        </w:rPr>
      </w:pPr>
      <w:r>
        <w:br w:type="page"/>
      </w:r>
    </w:p>
    <w:p w:rsidR="00977D9A" w:rsidRPr="00F63039" w:rsidRDefault="002A3D13" w:rsidP="00DE01DE">
      <w:pPr>
        <w:pStyle w:val="Heading2"/>
      </w:pPr>
      <w:r>
        <w:lastRenderedPageBreak/>
        <w:t>Colorectal cancer</w:t>
      </w:r>
    </w:p>
    <w:p w:rsidR="006E4F7E" w:rsidRPr="006E4F7E" w:rsidRDefault="002A3D13" w:rsidP="006E4F7E">
      <w:pPr>
        <w:pStyle w:val="Heading3"/>
      </w:pPr>
      <w:r>
        <w:t>Background &amp; disease staging</w:t>
      </w:r>
    </w:p>
    <w:p w:rsidR="001F7925" w:rsidRDefault="001F7925" w:rsidP="001F7925">
      <w:pPr>
        <w:pStyle w:val="Heading3"/>
        <w:rPr>
          <w:i w:val="0"/>
        </w:rPr>
      </w:pPr>
      <w:r w:rsidRPr="001F7925">
        <w:rPr>
          <w:i w:val="0"/>
        </w:rPr>
        <w:t>Around 80% of colorectal cancer (CRC) cases are due to colon cancer</w:t>
      </w:r>
      <w:r>
        <w:rPr>
          <w:i w:val="0"/>
        </w:rPr>
        <w:t xml:space="preserve"> and most</w:t>
      </w:r>
      <w:r w:rsidRPr="001F7925">
        <w:rPr>
          <w:i w:val="0"/>
        </w:rPr>
        <w:t xml:space="preserve"> are adenocarcinomas, which develop from polyps</w:t>
      </w:r>
      <w:r>
        <w:rPr>
          <w:i w:val="0"/>
        </w:rPr>
        <w:t xml:space="preserve">. </w:t>
      </w:r>
      <w:r w:rsidRPr="001F7925">
        <w:rPr>
          <w:i w:val="0"/>
        </w:rPr>
        <w:t>Common symptoms are rectal bleeding, change in bowel habits and anaemia</w:t>
      </w:r>
      <w:r>
        <w:rPr>
          <w:i w:val="0"/>
        </w:rPr>
        <w:t>.</w:t>
      </w:r>
      <w:r w:rsidRPr="001F7925">
        <w:rPr>
          <w:i w:val="0"/>
        </w:rPr>
        <w:t xml:space="preserve"> </w:t>
      </w:r>
    </w:p>
    <w:p w:rsidR="001F7925" w:rsidRPr="001F7925" w:rsidRDefault="001F7925" w:rsidP="001F7925">
      <w:pPr>
        <w:pStyle w:val="Heading3"/>
        <w:rPr>
          <w:i w:val="0"/>
        </w:rPr>
      </w:pPr>
      <w:r w:rsidRPr="001F7925">
        <w:rPr>
          <w:i w:val="0"/>
        </w:rPr>
        <w:t xml:space="preserve">25% are due to genetic defects, e.g. familial adenomatous </w:t>
      </w:r>
      <w:r w:rsidR="00B610A5">
        <w:rPr>
          <w:i w:val="0"/>
        </w:rPr>
        <w:t>polyposis (FAP) &amp; non-polyposis</w:t>
      </w:r>
      <w:r>
        <w:rPr>
          <w:i w:val="0"/>
        </w:rPr>
        <w:t xml:space="preserve"> </w:t>
      </w:r>
      <w:r w:rsidRPr="001F7925">
        <w:rPr>
          <w:i w:val="0"/>
        </w:rPr>
        <w:t>colorectal syndrome (NPCS)</w:t>
      </w:r>
      <w:r>
        <w:rPr>
          <w:i w:val="0"/>
        </w:rPr>
        <w:t>. I</w:t>
      </w:r>
      <w:r w:rsidRPr="001F7925">
        <w:rPr>
          <w:i w:val="0"/>
        </w:rPr>
        <w:t>nflammation, meat consumption &amp; smoking are major risk factors</w:t>
      </w:r>
      <w:r w:rsidR="00B610A5">
        <w:rPr>
          <w:i w:val="0"/>
        </w:rPr>
        <w:t xml:space="preserve"> whereas h</w:t>
      </w:r>
      <w:r w:rsidRPr="001F7925">
        <w:rPr>
          <w:i w:val="0"/>
        </w:rPr>
        <w:t>igh fibre diets, folic acid intake and</w:t>
      </w:r>
      <w:r w:rsidR="005E482B">
        <w:rPr>
          <w:i w:val="0"/>
        </w:rPr>
        <w:t xml:space="preserve"> NSAID use reduce CRC incidence.</w:t>
      </w:r>
    </w:p>
    <w:p w:rsidR="001F7925" w:rsidRPr="001F7925" w:rsidRDefault="005E482B" w:rsidP="001F7925">
      <w:pPr>
        <w:pStyle w:val="Heading3"/>
        <w:rPr>
          <w:i w:val="0"/>
        </w:rPr>
      </w:pPr>
      <w:r>
        <w:rPr>
          <w:i w:val="0"/>
        </w:rPr>
        <w:t>The spread of CRC is</w:t>
      </w:r>
      <w:r w:rsidR="001F7925" w:rsidRPr="001F7925">
        <w:rPr>
          <w:i w:val="0"/>
        </w:rPr>
        <w:t xml:space="preserve"> described using Dukes’</w:t>
      </w:r>
      <w:r w:rsidR="001F7925">
        <w:rPr>
          <w:i w:val="0"/>
        </w:rPr>
        <w:t xml:space="preserve"> staging</w:t>
      </w:r>
      <w:r w:rsidR="001F7925" w:rsidRPr="001F7925">
        <w:rPr>
          <w:i w:val="0"/>
        </w:rPr>
        <w:t xml:space="preserve"> </w:t>
      </w:r>
      <w:r w:rsidR="00AE55A5">
        <w:rPr>
          <w:i w:val="0"/>
        </w:rPr>
        <w:t xml:space="preserve">(see table 1) </w:t>
      </w:r>
      <w:r w:rsidR="001F7925" w:rsidRPr="001F7925">
        <w:rPr>
          <w:i w:val="0"/>
        </w:rPr>
        <w:t>or TNM</w:t>
      </w:r>
      <w:r w:rsidR="00AE55A5">
        <w:rPr>
          <w:i w:val="0"/>
        </w:rPr>
        <w:t xml:space="preserve"> (tumour, nodes, metastasis)</w:t>
      </w:r>
      <w:r w:rsidR="001F7925" w:rsidRPr="001F7925">
        <w:rPr>
          <w:i w:val="0"/>
        </w:rPr>
        <w:t xml:space="preserve"> classification</w:t>
      </w:r>
      <w:r w:rsidR="001F7925">
        <w:rPr>
          <w:i w:val="0"/>
        </w:rPr>
        <w:t xml:space="preserve"> </w:t>
      </w:r>
    </w:p>
    <w:p w:rsidR="00DA0C67" w:rsidRPr="00DA0C67" w:rsidRDefault="00DA0C67" w:rsidP="008A7E5C">
      <w:pPr>
        <w:spacing w:after="120"/>
        <w:rPr>
          <w:b/>
        </w:rPr>
      </w:pPr>
      <w:r>
        <w:rPr>
          <w:b/>
        </w:rPr>
        <w:t xml:space="preserve">Table 1: </w:t>
      </w:r>
      <w:r w:rsidR="001F7925">
        <w:rPr>
          <w:b/>
        </w:rPr>
        <w:t>Dukes’ staging for colorectal cancer</w:t>
      </w:r>
    </w:p>
    <w:tbl>
      <w:tblPr>
        <w:tblW w:w="680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39"/>
        <w:gridCol w:w="2872"/>
        <w:gridCol w:w="1418"/>
        <w:gridCol w:w="1275"/>
      </w:tblGrid>
      <w:tr w:rsidR="001F7925" w:rsidRPr="001F7925" w:rsidTr="009618A0">
        <w:trPr>
          <w:trHeight w:val="429"/>
        </w:trPr>
        <w:tc>
          <w:tcPr>
            <w:tcW w:w="1239" w:type="dxa"/>
            <w:shd w:val="clear" w:color="auto" w:fill="BFBFBF"/>
            <w:tcMar>
              <w:top w:w="72" w:type="dxa"/>
              <w:left w:w="144" w:type="dxa"/>
              <w:bottom w:w="72" w:type="dxa"/>
              <w:right w:w="144" w:type="dxa"/>
            </w:tcMar>
            <w:vAlign w:val="center"/>
            <w:hideMark/>
          </w:tcPr>
          <w:p w:rsidR="006F509D" w:rsidRPr="001F7925" w:rsidRDefault="001F7925" w:rsidP="009618A0">
            <w:pPr>
              <w:spacing w:after="0"/>
              <w:jc w:val="center"/>
              <w:rPr>
                <w:b/>
              </w:rPr>
            </w:pPr>
            <w:r w:rsidRPr="001F7925">
              <w:rPr>
                <w:b/>
              </w:rPr>
              <w:t>Dukes’ stage</w:t>
            </w:r>
          </w:p>
        </w:tc>
        <w:tc>
          <w:tcPr>
            <w:tcW w:w="2872" w:type="dxa"/>
            <w:shd w:val="clear" w:color="auto" w:fill="BFBFBF"/>
            <w:tcMar>
              <w:top w:w="72" w:type="dxa"/>
              <w:left w:w="144" w:type="dxa"/>
              <w:bottom w:w="72" w:type="dxa"/>
              <w:right w:w="144" w:type="dxa"/>
            </w:tcMar>
            <w:vAlign w:val="center"/>
            <w:hideMark/>
          </w:tcPr>
          <w:p w:rsidR="006F509D" w:rsidRPr="001F7925" w:rsidRDefault="001F7925" w:rsidP="009618A0">
            <w:pPr>
              <w:spacing w:after="0"/>
              <w:jc w:val="center"/>
              <w:rPr>
                <w:b/>
              </w:rPr>
            </w:pPr>
            <w:r w:rsidRPr="001F7925">
              <w:rPr>
                <w:b/>
              </w:rPr>
              <w:t>Definition</w:t>
            </w:r>
          </w:p>
        </w:tc>
        <w:tc>
          <w:tcPr>
            <w:tcW w:w="1418" w:type="dxa"/>
            <w:shd w:val="clear" w:color="auto" w:fill="BFBFBF"/>
            <w:tcMar>
              <w:top w:w="72" w:type="dxa"/>
              <w:left w:w="144" w:type="dxa"/>
              <w:bottom w:w="72" w:type="dxa"/>
              <w:right w:w="144" w:type="dxa"/>
            </w:tcMar>
            <w:vAlign w:val="center"/>
            <w:hideMark/>
          </w:tcPr>
          <w:p w:rsidR="006F509D" w:rsidRPr="001F7925" w:rsidRDefault="001F7925" w:rsidP="009618A0">
            <w:pPr>
              <w:spacing w:after="0"/>
              <w:jc w:val="center"/>
              <w:rPr>
                <w:b/>
              </w:rPr>
            </w:pPr>
            <w:r w:rsidRPr="001F7925">
              <w:rPr>
                <w:b/>
              </w:rPr>
              <w:t>Frequency (%)</w:t>
            </w:r>
          </w:p>
        </w:tc>
        <w:tc>
          <w:tcPr>
            <w:tcW w:w="1275" w:type="dxa"/>
            <w:shd w:val="clear" w:color="auto" w:fill="BFBFBF"/>
            <w:tcMar>
              <w:top w:w="72" w:type="dxa"/>
              <w:left w:w="144" w:type="dxa"/>
              <w:bottom w:w="72" w:type="dxa"/>
              <w:right w:w="144" w:type="dxa"/>
            </w:tcMar>
            <w:vAlign w:val="center"/>
            <w:hideMark/>
          </w:tcPr>
          <w:p w:rsidR="006F509D" w:rsidRPr="001F7925" w:rsidRDefault="009A4CBE" w:rsidP="009618A0">
            <w:pPr>
              <w:spacing w:after="0"/>
              <w:jc w:val="center"/>
              <w:rPr>
                <w:b/>
              </w:rPr>
            </w:pPr>
            <w:r>
              <w:rPr>
                <w:b/>
              </w:rPr>
              <w:t>5 year survival</w:t>
            </w:r>
          </w:p>
        </w:tc>
      </w:tr>
      <w:tr w:rsidR="001F7925" w:rsidRPr="001F7925" w:rsidTr="009A4CBE">
        <w:trPr>
          <w:trHeight w:val="18"/>
        </w:trPr>
        <w:tc>
          <w:tcPr>
            <w:tcW w:w="1239"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center"/>
              <w:rPr>
                <w:b/>
                <w:sz w:val="20"/>
                <w:szCs w:val="20"/>
              </w:rPr>
            </w:pPr>
            <w:r w:rsidRPr="001F7925">
              <w:rPr>
                <w:b/>
                <w:sz w:val="20"/>
                <w:szCs w:val="20"/>
              </w:rPr>
              <w:t>A</w:t>
            </w:r>
          </w:p>
        </w:tc>
        <w:tc>
          <w:tcPr>
            <w:tcW w:w="2872"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left"/>
              <w:rPr>
                <w:sz w:val="20"/>
                <w:szCs w:val="20"/>
              </w:rPr>
            </w:pPr>
            <w:r w:rsidRPr="001F7925">
              <w:rPr>
                <w:sz w:val="20"/>
                <w:szCs w:val="20"/>
              </w:rPr>
              <w:t xml:space="preserve">Localised within bowel wall </w:t>
            </w:r>
          </w:p>
        </w:tc>
        <w:tc>
          <w:tcPr>
            <w:tcW w:w="1418"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left"/>
              <w:rPr>
                <w:sz w:val="20"/>
                <w:szCs w:val="20"/>
              </w:rPr>
            </w:pPr>
            <w:r w:rsidRPr="001F7925">
              <w:rPr>
                <w:sz w:val="20"/>
                <w:szCs w:val="20"/>
              </w:rPr>
              <w:t>10</w:t>
            </w:r>
            <w:r w:rsidRPr="001F7925">
              <w:rPr>
                <w:b/>
                <w:bCs/>
                <w:sz w:val="20"/>
                <w:szCs w:val="20"/>
              </w:rPr>
              <w:t xml:space="preserve"> </w:t>
            </w:r>
          </w:p>
        </w:tc>
        <w:tc>
          <w:tcPr>
            <w:tcW w:w="1275"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left"/>
              <w:rPr>
                <w:sz w:val="20"/>
                <w:szCs w:val="20"/>
              </w:rPr>
            </w:pPr>
            <w:r w:rsidRPr="001F7925">
              <w:rPr>
                <w:sz w:val="20"/>
                <w:szCs w:val="20"/>
              </w:rPr>
              <w:t>80%</w:t>
            </w:r>
            <w:r w:rsidRPr="001F7925">
              <w:rPr>
                <w:b/>
                <w:bCs/>
                <w:sz w:val="20"/>
                <w:szCs w:val="20"/>
              </w:rPr>
              <w:t xml:space="preserve"> </w:t>
            </w:r>
          </w:p>
        </w:tc>
      </w:tr>
      <w:tr w:rsidR="001F7925" w:rsidRPr="001F7925" w:rsidTr="009A4CBE">
        <w:trPr>
          <w:trHeight w:val="139"/>
        </w:trPr>
        <w:tc>
          <w:tcPr>
            <w:tcW w:w="1239"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center"/>
              <w:rPr>
                <w:b/>
                <w:sz w:val="20"/>
                <w:szCs w:val="20"/>
              </w:rPr>
            </w:pPr>
            <w:r w:rsidRPr="001F7925">
              <w:rPr>
                <w:b/>
                <w:sz w:val="20"/>
                <w:szCs w:val="20"/>
              </w:rPr>
              <w:t>B</w:t>
            </w:r>
          </w:p>
        </w:tc>
        <w:tc>
          <w:tcPr>
            <w:tcW w:w="2872"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left"/>
              <w:rPr>
                <w:sz w:val="20"/>
                <w:szCs w:val="20"/>
              </w:rPr>
            </w:pPr>
            <w:r w:rsidRPr="001F7925">
              <w:rPr>
                <w:sz w:val="20"/>
                <w:szCs w:val="20"/>
              </w:rPr>
              <w:t xml:space="preserve">Penetrating bowel wall </w:t>
            </w:r>
          </w:p>
        </w:tc>
        <w:tc>
          <w:tcPr>
            <w:tcW w:w="1418"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left"/>
              <w:rPr>
                <w:sz w:val="20"/>
                <w:szCs w:val="20"/>
              </w:rPr>
            </w:pPr>
            <w:r w:rsidRPr="001F7925">
              <w:rPr>
                <w:sz w:val="20"/>
                <w:szCs w:val="20"/>
              </w:rPr>
              <w:t>35</w:t>
            </w:r>
            <w:r w:rsidRPr="001F7925">
              <w:rPr>
                <w:b/>
                <w:bCs/>
                <w:sz w:val="20"/>
                <w:szCs w:val="20"/>
              </w:rPr>
              <w:t xml:space="preserve"> </w:t>
            </w:r>
          </w:p>
        </w:tc>
        <w:tc>
          <w:tcPr>
            <w:tcW w:w="1275"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left"/>
              <w:rPr>
                <w:sz w:val="20"/>
                <w:szCs w:val="20"/>
              </w:rPr>
            </w:pPr>
            <w:r w:rsidRPr="001F7925">
              <w:rPr>
                <w:sz w:val="20"/>
                <w:szCs w:val="20"/>
              </w:rPr>
              <w:t>65%</w:t>
            </w:r>
            <w:r w:rsidRPr="001F7925">
              <w:rPr>
                <w:b/>
                <w:bCs/>
                <w:sz w:val="20"/>
                <w:szCs w:val="20"/>
              </w:rPr>
              <w:t xml:space="preserve"> </w:t>
            </w:r>
          </w:p>
        </w:tc>
      </w:tr>
      <w:tr w:rsidR="001F7925" w:rsidRPr="001F7925" w:rsidTr="009A4CBE">
        <w:trPr>
          <w:trHeight w:val="18"/>
        </w:trPr>
        <w:tc>
          <w:tcPr>
            <w:tcW w:w="1239"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center"/>
              <w:rPr>
                <w:b/>
                <w:sz w:val="20"/>
                <w:szCs w:val="20"/>
              </w:rPr>
            </w:pPr>
            <w:r w:rsidRPr="001F7925">
              <w:rPr>
                <w:b/>
                <w:sz w:val="20"/>
                <w:szCs w:val="20"/>
              </w:rPr>
              <w:t>C</w:t>
            </w:r>
          </w:p>
        </w:tc>
        <w:tc>
          <w:tcPr>
            <w:tcW w:w="2872"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left"/>
              <w:rPr>
                <w:sz w:val="20"/>
                <w:szCs w:val="20"/>
              </w:rPr>
            </w:pPr>
            <w:r w:rsidRPr="001F7925">
              <w:rPr>
                <w:sz w:val="20"/>
                <w:szCs w:val="20"/>
              </w:rPr>
              <w:t xml:space="preserve">Within lymph nodes </w:t>
            </w:r>
          </w:p>
        </w:tc>
        <w:tc>
          <w:tcPr>
            <w:tcW w:w="1418"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left"/>
              <w:rPr>
                <w:sz w:val="20"/>
                <w:szCs w:val="20"/>
              </w:rPr>
            </w:pPr>
            <w:r w:rsidRPr="001F7925">
              <w:rPr>
                <w:sz w:val="20"/>
                <w:szCs w:val="20"/>
              </w:rPr>
              <w:t>25</w:t>
            </w:r>
            <w:r w:rsidRPr="001F7925">
              <w:rPr>
                <w:b/>
                <w:bCs/>
                <w:sz w:val="20"/>
                <w:szCs w:val="20"/>
              </w:rPr>
              <w:t xml:space="preserve"> </w:t>
            </w:r>
          </w:p>
        </w:tc>
        <w:tc>
          <w:tcPr>
            <w:tcW w:w="1275"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left"/>
              <w:rPr>
                <w:sz w:val="20"/>
                <w:szCs w:val="20"/>
              </w:rPr>
            </w:pPr>
            <w:r w:rsidRPr="001F7925">
              <w:rPr>
                <w:sz w:val="20"/>
                <w:szCs w:val="20"/>
              </w:rPr>
              <w:t>40%</w:t>
            </w:r>
            <w:r w:rsidRPr="001F7925">
              <w:rPr>
                <w:b/>
                <w:bCs/>
                <w:sz w:val="20"/>
                <w:szCs w:val="20"/>
              </w:rPr>
              <w:t xml:space="preserve"> </w:t>
            </w:r>
          </w:p>
        </w:tc>
      </w:tr>
      <w:tr w:rsidR="001F7925" w:rsidRPr="001F7925" w:rsidTr="009A4CBE">
        <w:trPr>
          <w:trHeight w:val="18"/>
        </w:trPr>
        <w:tc>
          <w:tcPr>
            <w:tcW w:w="1239"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center"/>
              <w:rPr>
                <w:b/>
                <w:sz w:val="20"/>
                <w:szCs w:val="20"/>
              </w:rPr>
            </w:pPr>
            <w:r w:rsidRPr="001F7925">
              <w:rPr>
                <w:b/>
                <w:sz w:val="20"/>
                <w:szCs w:val="20"/>
              </w:rPr>
              <w:t>D</w:t>
            </w:r>
          </w:p>
        </w:tc>
        <w:tc>
          <w:tcPr>
            <w:tcW w:w="2872"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left"/>
              <w:rPr>
                <w:sz w:val="20"/>
                <w:szCs w:val="20"/>
              </w:rPr>
            </w:pPr>
            <w:r w:rsidRPr="001F7925">
              <w:rPr>
                <w:sz w:val="20"/>
                <w:szCs w:val="20"/>
              </w:rPr>
              <w:t xml:space="preserve">Distant metastases </w:t>
            </w:r>
          </w:p>
        </w:tc>
        <w:tc>
          <w:tcPr>
            <w:tcW w:w="1418"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left"/>
              <w:rPr>
                <w:sz w:val="20"/>
                <w:szCs w:val="20"/>
              </w:rPr>
            </w:pPr>
            <w:r w:rsidRPr="001F7925">
              <w:rPr>
                <w:sz w:val="20"/>
                <w:szCs w:val="20"/>
              </w:rPr>
              <w:t>30</w:t>
            </w:r>
            <w:r w:rsidRPr="001F7925">
              <w:rPr>
                <w:b/>
                <w:bCs/>
                <w:sz w:val="20"/>
                <w:szCs w:val="20"/>
              </w:rPr>
              <w:t xml:space="preserve"> </w:t>
            </w:r>
          </w:p>
        </w:tc>
        <w:tc>
          <w:tcPr>
            <w:tcW w:w="1275" w:type="dxa"/>
            <w:shd w:val="clear" w:color="auto" w:fill="auto"/>
            <w:tcMar>
              <w:top w:w="72" w:type="dxa"/>
              <w:left w:w="144" w:type="dxa"/>
              <w:bottom w:w="72" w:type="dxa"/>
              <w:right w:w="144" w:type="dxa"/>
            </w:tcMar>
            <w:vAlign w:val="center"/>
            <w:hideMark/>
          </w:tcPr>
          <w:p w:rsidR="006F509D" w:rsidRPr="001F7925" w:rsidRDefault="001F7925" w:rsidP="001F7925">
            <w:pPr>
              <w:spacing w:after="0"/>
              <w:jc w:val="left"/>
              <w:rPr>
                <w:sz w:val="20"/>
                <w:szCs w:val="20"/>
              </w:rPr>
            </w:pPr>
            <w:r w:rsidRPr="001F7925">
              <w:rPr>
                <w:sz w:val="20"/>
                <w:szCs w:val="20"/>
              </w:rPr>
              <w:t>5%</w:t>
            </w:r>
            <w:r w:rsidRPr="001F7925">
              <w:rPr>
                <w:b/>
                <w:bCs/>
                <w:sz w:val="20"/>
                <w:szCs w:val="20"/>
              </w:rPr>
              <w:t xml:space="preserve"> </w:t>
            </w:r>
          </w:p>
        </w:tc>
      </w:tr>
    </w:tbl>
    <w:p w:rsidR="00630064" w:rsidRPr="00F63039" w:rsidRDefault="00630064" w:rsidP="008A7E5C">
      <w:pPr>
        <w:spacing w:after="120"/>
      </w:pPr>
    </w:p>
    <w:p w:rsidR="00C544FF" w:rsidRPr="00C544FF" w:rsidRDefault="00C544FF" w:rsidP="00C544FF">
      <w:pPr>
        <w:rPr>
          <w:rFonts w:cs="Arial"/>
          <w:i/>
        </w:rPr>
      </w:pPr>
      <w:r w:rsidRPr="00C544FF">
        <w:rPr>
          <w:rFonts w:cs="Arial"/>
          <w:i/>
        </w:rPr>
        <w:t>Adjuvant chemotherapy</w:t>
      </w:r>
    </w:p>
    <w:p w:rsidR="00C544FF" w:rsidRPr="00C544FF" w:rsidRDefault="00C544FF" w:rsidP="00C544FF">
      <w:pPr>
        <w:rPr>
          <w:rFonts w:cs="Arial"/>
        </w:rPr>
      </w:pPr>
      <w:r w:rsidRPr="00C544FF">
        <w:rPr>
          <w:rFonts w:cs="Arial"/>
        </w:rPr>
        <w:t>Chemotherapy is given as an adjuvant to surgery in a minority of patients (~25%)</w:t>
      </w:r>
      <w:r>
        <w:rPr>
          <w:rFonts w:cs="Arial"/>
        </w:rPr>
        <w:t xml:space="preserve">. </w:t>
      </w:r>
      <w:r w:rsidRPr="00C544FF">
        <w:rPr>
          <w:rFonts w:cs="Arial"/>
        </w:rPr>
        <w:t>It is offered to all Dukes’ stage C patients who are able to tolerate drugs following surgery</w:t>
      </w:r>
      <w:r>
        <w:rPr>
          <w:rFonts w:cs="Arial"/>
        </w:rPr>
        <w:t>.</w:t>
      </w:r>
    </w:p>
    <w:p w:rsidR="004B24B4" w:rsidRDefault="00C544FF" w:rsidP="00C544FF">
      <w:pPr>
        <w:rPr>
          <w:rFonts w:cs="Arial"/>
        </w:rPr>
      </w:pPr>
      <w:r w:rsidRPr="00C544FF">
        <w:rPr>
          <w:rFonts w:cs="Arial"/>
        </w:rPr>
        <w:t>Standard treatment is</w:t>
      </w:r>
      <w:r w:rsidR="00A95896">
        <w:rPr>
          <w:rFonts w:cs="Arial"/>
        </w:rPr>
        <w:t xml:space="preserve"> </w:t>
      </w:r>
      <w:proofErr w:type="spellStart"/>
      <w:r w:rsidR="00A95896">
        <w:rPr>
          <w:rFonts w:cs="Arial"/>
        </w:rPr>
        <w:t>fluor</w:t>
      </w:r>
      <w:r w:rsidR="00461533">
        <w:rPr>
          <w:rFonts w:cs="Arial"/>
        </w:rPr>
        <w:t>o</w:t>
      </w:r>
      <w:r w:rsidR="00A95896">
        <w:rPr>
          <w:rFonts w:cs="Arial"/>
        </w:rPr>
        <w:t>pyrimidine</w:t>
      </w:r>
      <w:proofErr w:type="spellEnd"/>
      <w:r w:rsidR="00A95896">
        <w:rPr>
          <w:rFonts w:cs="Arial"/>
        </w:rPr>
        <w:t>-based therapy with</w:t>
      </w:r>
      <w:r w:rsidRPr="00C544FF">
        <w:rPr>
          <w:rFonts w:cs="Arial"/>
        </w:rPr>
        <w:t xml:space="preserve"> </w:t>
      </w:r>
      <w:r w:rsidRPr="00C544FF">
        <w:rPr>
          <w:rFonts w:cs="Arial"/>
          <w:b/>
        </w:rPr>
        <w:t>5-fluorouracil</w:t>
      </w:r>
      <w:r w:rsidRPr="00C544FF">
        <w:rPr>
          <w:rFonts w:cs="Arial"/>
        </w:rPr>
        <w:t xml:space="preserve"> </w:t>
      </w:r>
      <w:r w:rsidR="004B24B4">
        <w:rPr>
          <w:rFonts w:cs="Arial"/>
        </w:rPr>
        <w:t xml:space="preserve">(5-FU) </w:t>
      </w:r>
      <w:r w:rsidRPr="00C544FF">
        <w:rPr>
          <w:rFonts w:cs="Arial"/>
        </w:rPr>
        <w:t xml:space="preserve">&amp; </w:t>
      </w:r>
      <w:proofErr w:type="spellStart"/>
      <w:r w:rsidRPr="00C544FF">
        <w:rPr>
          <w:rFonts w:cs="Arial"/>
        </w:rPr>
        <w:t>folinic</w:t>
      </w:r>
      <w:proofErr w:type="spellEnd"/>
      <w:r w:rsidRPr="00C544FF">
        <w:rPr>
          <w:rFonts w:cs="Arial"/>
        </w:rPr>
        <w:t xml:space="preserve"> acid (FUFA) given intravenously over 6 months</w:t>
      </w:r>
      <w:r>
        <w:rPr>
          <w:rFonts w:cs="Arial"/>
        </w:rPr>
        <w:t>. 5-</w:t>
      </w:r>
      <w:r w:rsidR="004B24B4">
        <w:rPr>
          <w:rFonts w:cs="Arial"/>
        </w:rPr>
        <w:t>FU</w:t>
      </w:r>
      <w:r>
        <w:rPr>
          <w:rFonts w:cs="Arial"/>
        </w:rPr>
        <w:t xml:space="preserve"> is</w:t>
      </w:r>
      <w:r w:rsidRPr="00C544FF">
        <w:rPr>
          <w:rFonts w:cs="Arial"/>
        </w:rPr>
        <w:t xml:space="preserve"> </w:t>
      </w:r>
      <w:r>
        <w:rPr>
          <w:rFonts w:cs="Arial"/>
        </w:rPr>
        <w:t>a</w:t>
      </w:r>
      <w:r w:rsidRPr="00C544FF">
        <w:rPr>
          <w:rFonts w:cs="Arial"/>
        </w:rPr>
        <w:t xml:space="preserve">n </w:t>
      </w:r>
      <w:r w:rsidRPr="009E0212">
        <w:rPr>
          <w:rFonts w:cs="Arial"/>
          <w:b/>
        </w:rPr>
        <w:t>antimetabolite</w:t>
      </w:r>
      <w:r w:rsidR="004B24B4">
        <w:rPr>
          <w:rFonts w:cs="Arial"/>
        </w:rPr>
        <w:t>.</w:t>
      </w:r>
      <w:r w:rsidR="00276DFF">
        <w:rPr>
          <w:rFonts w:cs="Arial"/>
        </w:rPr>
        <w:t xml:space="preserve"> </w:t>
      </w:r>
      <w:proofErr w:type="spellStart"/>
      <w:r w:rsidR="00276DFF">
        <w:rPr>
          <w:rFonts w:cs="Arial"/>
        </w:rPr>
        <w:t>Folinic</w:t>
      </w:r>
      <w:proofErr w:type="spellEnd"/>
      <w:r w:rsidR="00276DFF">
        <w:rPr>
          <w:rFonts w:cs="Arial"/>
        </w:rPr>
        <w:t xml:space="preserve"> acid is </w:t>
      </w:r>
      <w:proofErr w:type="spellStart"/>
      <w:r w:rsidR="00276DFF">
        <w:rPr>
          <w:rFonts w:cs="Arial"/>
        </w:rPr>
        <w:t>tetra</w:t>
      </w:r>
      <w:r w:rsidR="004B24B4">
        <w:rPr>
          <w:rFonts w:cs="Arial"/>
        </w:rPr>
        <w:t>hydrofolic</w:t>
      </w:r>
      <w:proofErr w:type="spellEnd"/>
      <w:r w:rsidR="004B24B4">
        <w:rPr>
          <w:rFonts w:cs="Arial"/>
        </w:rPr>
        <w:t xml:space="preserve"> acid derivative that </w:t>
      </w:r>
      <w:r w:rsidR="00276DFF">
        <w:rPr>
          <w:rFonts w:cs="Arial"/>
        </w:rPr>
        <w:t>will allow for some purine and pyrimidine synthesis to occur.</w:t>
      </w:r>
    </w:p>
    <w:p w:rsidR="004B24B4" w:rsidRPr="00D66A25" w:rsidRDefault="004B24B4" w:rsidP="00D66A25">
      <w:pPr>
        <w:ind w:firstLine="720"/>
        <w:rPr>
          <w:rFonts w:cs="Arial"/>
          <w:b/>
        </w:rPr>
      </w:pPr>
      <w:r w:rsidRPr="00D66A25">
        <w:rPr>
          <w:rFonts w:cs="Arial"/>
          <w:b/>
        </w:rPr>
        <w:t>Antimetabolites</w:t>
      </w:r>
    </w:p>
    <w:p w:rsidR="00276DFF" w:rsidRDefault="00276DFF" w:rsidP="00276DFF">
      <w:pPr>
        <w:spacing w:after="120"/>
        <w:rPr>
          <w:rFonts w:cs="Arial"/>
        </w:rPr>
      </w:pPr>
      <w:r>
        <w:rPr>
          <w:rFonts w:cs="Arial"/>
        </w:rPr>
        <w:t>5-FU is a widely used cytotoxic drug that is used for the treatment of various solid tumours. It is thought to exert its cyto</w:t>
      </w:r>
      <w:r w:rsidR="009A4CBE">
        <w:rPr>
          <w:rFonts w:cs="Arial"/>
        </w:rPr>
        <w:t>to</w:t>
      </w:r>
      <w:r>
        <w:rPr>
          <w:rFonts w:cs="Arial"/>
        </w:rPr>
        <w:t>xic action by different mechanisms including:</w:t>
      </w:r>
    </w:p>
    <w:p w:rsidR="00276DFF" w:rsidRDefault="00276DFF" w:rsidP="00822BCF">
      <w:pPr>
        <w:pStyle w:val="ListParagraph"/>
        <w:numPr>
          <w:ilvl w:val="0"/>
          <w:numId w:val="16"/>
        </w:numPr>
        <w:spacing w:after="100" w:afterAutospacing="1"/>
        <w:ind w:left="714" w:hanging="357"/>
        <w:rPr>
          <w:rFonts w:cs="Arial"/>
        </w:rPr>
      </w:pPr>
      <w:r>
        <w:rPr>
          <w:rFonts w:cs="Arial"/>
        </w:rPr>
        <w:t xml:space="preserve">Inhibition of </w:t>
      </w:r>
      <w:proofErr w:type="spellStart"/>
      <w:r>
        <w:rPr>
          <w:rFonts w:cs="Arial"/>
        </w:rPr>
        <w:t>thymidilate</w:t>
      </w:r>
      <w:proofErr w:type="spellEnd"/>
      <w:r>
        <w:rPr>
          <w:rFonts w:cs="Arial"/>
        </w:rPr>
        <w:t xml:space="preserve"> synthase thus interfering with DNA synthesis and repair</w:t>
      </w:r>
    </w:p>
    <w:p w:rsidR="00276DFF" w:rsidRDefault="00276DFF" w:rsidP="00822BCF">
      <w:pPr>
        <w:pStyle w:val="ListParagraph"/>
        <w:numPr>
          <w:ilvl w:val="0"/>
          <w:numId w:val="16"/>
        </w:numPr>
        <w:rPr>
          <w:rFonts w:cs="Arial"/>
        </w:rPr>
      </w:pPr>
      <w:r>
        <w:rPr>
          <w:rFonts w:cs="Arial"/>
        </w:rPr>
        <w:t>Incorporation into DNA and RNA thus inhibiting RNA processing and DNA synthesis</w:t>
      </w:r>
    </w:p>
    <w:p w:rsidR="00D66A25" w:rsidRDefault="00D66A25" w:rsidP="00D66A25">
      <w:pPr>
        <w:rPr>
          <w:rFonts w:cs="Arial"/>
        </w:rPr>
      </w:pPr>
      <w:r>
        <w:rPr>
          <w:rFonts w:cs="Arial"/>
        </w:rPr>
        <w:t>The main toxicities associated with 5-FU include bone marrow suppression, diarrhoea and neutropenia.</w:t>
      </w:r>
    </w:p>
    <w:p w:rsidR="0013698C" w:rsidRPr="007F7A0D" w:rsidRDefault="00C544FF" w:rsidP="00C544FF">
      <w:pPr>
        <w:rPr>
          <w:sz w:val="24"/>
          <w:szCs w:val="24"/>
        </w:rPr>
      </w:pPr>
      <w:proofErr w:type="spellStart"/>
      <w:r w:rsidRPr="00C544FF">
        <w:rPr>
          <w:rFonts w:cs="Arial"/>
          <w:b/>
        </w:rPr>
        <w:t>Bevacizumab</w:t>
      </w:r>
      <w:proofErr w:type="spellEnd"/>
      <w:r w:rsidR="006B4D77">
        <w:rPr>
          <w:rFonts w:cs="Arial"/>
          <w:b/>
        </w:rPr>
        <w:t xml:space="preserve"> </w:t>
      </w:r>
      <w:r w:rsidR="006B4D77">
        <w:rPr>
          <w:rFonts w:cs="Arial"/>
        </w:rPr>
        <w:t>(I-V)</w:t>
      </w:r>
      <w:r w:rsidRPr="00C544FF">
        <w:rPr>
          <w:rFonts w:cs="Arial"/>
        </w:rPr>
        <w:t xml:space="preserve"> is licensed as secondary treatment for metastatic CRC</w:t>
      </w:r>
      <w:r>
        <w:rPr>
          <w:rFonts w:cs="Arial"/>
        </w:rPr>
        <w:t>. It is a</w:t>
      </w:r>
      <w:r w:rsidRPr="00C544FF">
        <w:rPr>
          <w:rFonts w:cs="Arial"/>
        </w:rPr>
        <w:t xml:space="preserve"> monoclonal </w:t>
      </w:r>
      <w:r w:rsidRPr="009E0212">
        <w:rPr>
          <w:rFonts w:cs="Arial"/>
          <w:b/>
        </w:rPr>
        <w:t xml:space="preserve">antibody </w:t>
      </w:r>
      <w:r w:rsidRPr="00C544FF">
        <w:rPr>
          <w:rFonts w:cs="Arial"/>
        </w:rPr>
        <w:t>that inhibits vascular endothelial growth factor (VEGF)</w:t>
      </w:r>
      <w:r w:rsidR="00A95896">
        <w:rPr>
          <w:rFonts w:cs="Arial"/>
        </w:rPr>
        <w:t xml:space="preserve">. </w:t>
      </w:r>
      <w:proofErr w:type="spellStart"/>
      <w:r w:rsidR="00A95896">
        <w:rPr>
          <w:rFonts w:cs="Arial"/>
        </w:rPr>
        <w:t>Bevacizumab</w:t>
      </w:r>
      <w:proofErr w:type="spellEnd"/>
      <w:r w:rsidR="00A95896">
        <w:rPr>
          <w:rFonts w:cs="Arial"/>
        </w:rPr>
        <w:t xml:space="preserve"> is always given as combination treatment with FUFA and is not recommended for first-line treatment. Its use has been associated with higher incidences of certain cardiovascular events and bleeding. It is also licensed, in combination therapy, for number of other metastatic solid tumours</w:t>
      </w:r>
      <w:r w:rsidR="0049692A">
        <w:rPr>
          <w:rFonts w:cs="Arial"/>
        </w:rPr>
        <w:t xml:space="preserve"> (e.g. metastatic breast, renal cell, non-small cell lung cancer)</w:t>
      </w:r>
      <w:r w:rsidR="00A95896">
        <w:rPr>
          <w:rFonts w:cs="Arial"/>
        </w:rPr>
        <w:t>.</w:t>
      </w:r>
      <w:r w:rsidR="0013698C">
        <w:br w:type="page"/>
      </w:r>
    </w:p>
    <w:p w:rsidR="00A1540A" w:rsidRDefault="00A1540A" w:rsidP="00A1540A">
      <w:pPr>
        <w:pStyle w:val="Heading2"/>
      </w:pPr>
      <w:r>
        <w:lastRenderedPageBreak/>
        <w:t>Non-small cell lung cancer</w:t>
      </w:r>
    </w:p>
    <w:p w:rsidR="00A1540A" w:rsidRPr="006E4F7E" w:rsidRDefault="00A1540A" w:rsidP="00A1540A">
      <w:pPr>
        <w:pStyle w:val="Heading3"/>
      </w:pPr>
      <w:r>
        <w:t>Background &amp; disease staging</w:t>
      </w:r>
    </w:p>
    <w:p w:rsidR="00A1540A" w:rsidRPr="00A1540A" w:rsidRDefault="00A1540A" w:rsidP="00A1540A">
      <w:pPr>
        <w:spacing w:after="120"/>
        <w:rPr>
          <w:rFonts w:cs="Arial"/>
        </w:rPr>
      </w:pPr>
      <w:r w:rsidRPr="00A1540A">
        <w:rPr>
          <w:rFonts w:cs="Arial"/>
        </w:rPr>
        <w:t>Around 80% of lung cancers cases are classed as non-small cell lung cancer (NSCLC)</w:t>
      </w:r>
      <w:r>
        <w:rPr>
          <w:rFonts w:cs="Arial"/>
        </w:rPr>
        <w:t xml:space="preserve"> and c</w:t>
      </w:r>
      <w:r w:rsidRPr="00A1540A">
        <w:rPr>
          <w:rFonts w:cs="Arial"/>
        </w:rPr>
        <w:t xml:space="preserve">ommon symptoms include haemoptysis, cough, </w:t>
      </w:r>
      <w:proofErr w:type="gramStart"/>
      <w:r w:rsidRPr="00A1540A">
        <w:rPr>
          <w:rFonts w:cs="Arial"/>
        </w:rPr>
        <w:t>shortness</w:t>
      </w:r>
      <w:proofErr w:type="gramEnd"/>
      <w:r w:rsidRPr="00A1540A">
        <w:rPr>
          <w:rFonts w:cs="Arial"/>
        </w:rPr>
        <w:t xml:space="preserve"> of breath</w:t>
      </w:r>
      <w:r w:rsidR="00D243EC">
        <w:rPr>
          <w:rFonts w:cs="Arial"/>
        </w:rPr>
        <w:t>.</w:t>
      </w:r>
    </w:p>
    <w:p w:rsidR="00A1540A" w:rsidRPr="00A1540A" w:rsidRDefault="00A1540A" w:rsidP="00A1540A">
      <w:pPr>
        <w:spacing w:after="120"/>
        <w:rPr>
          <w:rFonts w:cs="Arial"/>
        </w:rPr>
      </w:pPr>
      <w:r w:rsidRPr="00A1540A">
        <w:rPr>
          <w:rFonts w:cs="Arial"/>
        </w:rPr>
        <w:t>NSCLC can be categorised as:</w:t>
      </w:r>
    </w:p>
    <w:p w:rsidR="00A1540A" w:rsidRPr="00A1540A" w:rsidRDefault="00A1540A" w:rsidP="00822BCF">
      <w:pPr>
        <w:pStyle w:val="ListParagraph"/>
        <w:numPr>
          <w:ilvl w:val="0"/>
          <w:numId w:val="12"/>
        </w:numPr>
        <w:spacing w:after="0"/>
        <w:ind w:left="714" w:hanging="357"/>
        <w:rPr>
          <w:rFonts w:cs="Arial"/>
        </w:rPr>
      </w:pPr>
      <w:r w:rsidRPr="00A1540A">
        <w:rPr>
          <w:rFonts w:cs="Arial"/>
        </w:rPr>
        <w:t>Squamous cell carcinoma (most common)</w:t>
      </w:r>
    </w:p>
    <w:p w:rsidR="00A1540A" w:rsidRPr="00A1540A" w:rsidRDefault="00A1540A" w:rsidP="00822BCF">
      <w:pPr>
        <w:pStyle w:val="ListParagraph"/>
        <w:numPr>
          <w:ilvl w:val="0"/>
          <w:numId w:val="12"/>
        </w:numPr>
        <w:spacing w:after="0"/>
        <w:ind w:left="714" w:hanging="357"/>
        <w:rPr>
          <w:rFonts w:cs="Arial"/>
        </w:rPr>
      </w:pPr>
      <w:r w:rsidRPr="00A1540A">
        <w:rPr>
          <w:rFonts w:cs="Arial"/>
        </w:rPr>
        <w:t>Adenocarcinoma</w:t>
      </w:r>
    </w:p>
    <w:p w:rsidR="00A1540A" w:rsidRPr="00A1540A" w:rsidRDefault="00A1540A" w:rsidP="00822BCF">
      <w:pPr>
        <w:pStyle w:val="ListParagraph"/>
        <w:numPr>
          <w:ilvl w:val="0"/>
          <w:numId w:val="12"/>
        </w:numPr>
        <w:spacing w:after="120"/>
        <w:ind w:left="714" w:hanging="357"/>
        <w:rPr>
          <w:rFonts w:cs="Arial"/>
        </w:rPr>
      </w:pPr>
      <w:r w:rsidRPr="00A1540A">
        <w:rPr>
          <w:rFonts w:cs="Arial"/>
        </w:rPr>
        <w:t>Large cell carcinoma</w:t>
      </w:r>
    </w:p>
    <w:p w:rsidR="00A1540A" w:rsidRPr="00A1540A" w:rsidRDefault="00A1540A" w:rsidP="00A1540A">
      <w:pPr>
        <w:rPr>
          <w:rFonts w:cs="Arial"/>
        </w:rPr>
      </w:pPr>
      <w:r>
        <w:rPr>
          <w:rFonts w:cs="Arial"/>
        </w:rPr>
        <w:t xml:space="preserve">Although </w:t>
      </w:r>
      <w:r w:rsidRPr="00A1540A">
        <w:rPr>
          <w:rFonts w:cs="Arial"/>
        </w:rPr>
        <w:t xml:space="preserve">90% of </w:t>
      </w:r>
      <w:r w:rsidR="00D243EC">
        <w:rPr>
          <w:rFonts w:cs="Arial"/>
        </w:rPr>
        <w:t xml:space="preserve">NSCLC </w:t>
      </w:r>
      <w:r w:rsidRPr="00A1540A">
        <w:rPr>
          <w:rFonts w:cs="Arial"/>
        </w:rPr>
        <w:t>cases are due to cigarette smoking</w:t>
      </w:r>
      <w:r>
        <w:rPr>
          <w:rFonts w:cs="Arial"/>
        </w:rPr>
        <w:t xml:space="preserve">, </w:t>
      </w:r>
      <w:r w:rsidR="00BD2860">
        <w:rPr>
          <w:rFonts w:cs="Arial"/>
        </w:rPr>
        <w:t>e</w:t>
      </w:r>
      <w:r w:rsidRPr="00A1540A">
        <w:rPr>
          <w:rFonts w:cs="Arial"/>
        </w:rPr>
        <w:t>pidermal growth factor receptor (EGFR) mutations are found in ~15% of lung cancer patients</w:t>
      </w:r>
      <w:r w:rsidR="00CB048E">
        <w:rPr>
          <w:rFonts w:cs="Arial"/>
        </w:rPr>
        <w:t>.</w:t>
      </w:r>
    </w:p>
    <w:p w:rsidR="00A1540A" w:rsidRDefault="00A1540A" w:rsidP="00A1540A">
      <w:pPr>
        <w:rPr>
          <w:rFonts w:cs="Arial"/>
        </w:rPr>
      </w:pPr>
      <w:r w:rsidRPr="00A1540A">
        <w:rPr>
          <w:rFonts w:cs="Arial"/>
        </w:rPr>
        <w:t xml:space="preserve">Surgery can involve lobectomy or </w:t>
      </w:r>
      <w:proofErr w:type="spellStart"/>
      <w:r w:rsidRPr="00A1540A">
        <w:rPr>
          <w:rFonts w:cs="Arial"/>
        </w:rPr>
        <w:t>pneumonectomy</w:t>
      </w:r>
      <w:proofErr w:type="spellEnd"/>
      <w:r>
        <w:rPr>
          <w:rFonts w:cs="Arial"/>
        </w:rPr>
        <w:t xml:space="preserve"> and t</w:t>
      </w:r>
      <w:r w:rsidRPr="00A1540A">
        <w:rPr>
          <w:rFonts w:cs="Arial"/>
        </w:rPr>
        <w:t>his is often combined with adjuvant chemotherapy and/or radiotherapy</w:t>
      </w:r>
      <w:r w:rsidR="00071588">
        <w:rPr>
          <w:rFonts w:cs="Arial"/>
        </w:rPr>
        <w:t>.</w:t>
      </w:r>
      <w:r w:rsidR="00A3362E">
        <w:rPr>
          <w:rFonts w:cs="Arial"/>
        </w:rPr>
        <w:t xml:space="preserve"> NSCLC staging is described both numerically (see table 2) and using the TNM classification.</w:t>
      </w:r>
    </w:p>
    <w:p w:rsidR="00071588" w:rsidRPr="00071588" w:rsidRDefault="00071588" w:rsidP="00A1540A">
      <w:pPr>
        <w:rPr>
          <w:rFonts w:cs="Arial"/>
          <w:b/>
        </w:rPr>
      </w:pPr>
      <w:r w:rsidRPr="00071588">
        <w:rPr>
          <w:rFonts w:cs="Arial"/>
          <w:b/>
        </w:rPr>
        <w:t>Table 2: Staging for non-small cell lung cancer</w:t>
      </w:r>
    </w:p>
    <w:tbl>
      <w:tblPr>
        <w:tblW w:w="708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39"/>
        <w:gridCol w:w="4715"/>
        <w:gridCol w:w="1134"/>
      </w:tblGrid>
      <w:tr w:rsidR="00071588" w:rsidRPr="001F7925" w:rsidTr="009618A0">
        <w:trPr>
          <w:trHeight w:val="429"/>
        </w:trPr>
        <w:tc>
          <w:tcPr>
            <w:tcW w:w="1239" w:type="dxa"/>
            <w:shd w:val="clear" w:color="auto" w:fill="BFBFBF"/>
            <w:tcMar>
              <w:top w:w="72" w:type="dxa"/>
              <w:left w:w="144" w:type="dxa"/>
              <w:bottom w:w="72" w:type="dxa"/>
              <w:right w:w="144" w:type="dxa"/>
            </w:tcMar>
            <w:vAlign w:val="center"/>
            <w:hideMark/>
          </w:tcPr>
          <w:p w:rsidR="00071588" w:rsidRPr="001F7925" w:rsidRDefault="00071588" w:rsidP="009618A0">
            <w:pPr>
              <w:spacing w:after="0"/>
              <w:jc w:val="center"/>
              <w:rPr>
                <w:b/>
              </w:rPr>
            </w:pPr>
            <w:r>
              <w:rPr>
                <w:b/>
              </w:rPr>
              <w:t>S</w:t>
            </w:r>
            <w:r w:rsidRPr="001F7925">
              <w:rPr>
                <w:b/>
              </w:rPr>
              <w:t>tage</w:t>
            </w:r>
          </w:p>
        </w:tc>
        <w:tc>
          <w:tcPr>
            <w:tcW w:w="4715" w:type="dxa"/>
            <w:shd w:val="clear" w:color="auto" w:fill="BFBFBF"/>
            <w:tcMar>
              <w:top w:w="72" w:type="dxa"/>
              <w:left w:w="144" w:type="dxa"/>
              <w:bottom w:w="72" w:type="dxa"/>
              <w:right w:w="144" w:type="dxa"/>
            </w:tcMar>
            <w:vAlign w:val="center"/>
            <w:hideMark/>
          </w:tcPr>
          <w:p w:rsidR="00071588" w:rsidRPr="001F7925" w:rsidRDefault="00071588" w:rsidP="009618A0">
            <w:pPr>
              <w:spacing w:after="0"/>
              <w:jc w:val="center"/>
              <w:rPr>
                <w:b/>
              </w:rPr>
            </w:pPr>
            <w:r w:rsidRPr="001F7925">
              <w:rPr>
                <w:b/>
              </w:rPr>
              <w:t>Definition</w:t>
            </w:r>
          </w:p>
        </w:tc>
        <w:tc>
          <w:tcPr>
            <w:tcW w:w="1134" w:type="dxa"/>
            <w:shd w:val="clear" w:color="auto" w:fill="BFBFBF"/>
            <w:tcMar>
              <w:top w:w="72" w:type="dxa"/>
              <w:left w:w="144" w:type="dxa"/>
              <w:bottom w:w="72" w:type="dxa"/>
              <w:right w:w="144" w:type="dxa"/>
            </w:tcMar>
            <w:vAlign w:val="center"/>
            <w:hideMark/>
          </w:tcPr>
          <w:p w:rsidR="00071588" w:rsidRPr="001F7925" w:rsidRDefault="00071588" w:rsidP="009618A0">
            <w:pPr>
              <w:spacing w:after="0"/>
              <w:jc w:val="center"/>
              <w:rPr>
                <w:b/>
              </w:rPr>
            </w:pPr>
            <w:r>
              <w:rPr>
                <w:b/>
              </w:rPr>
              <w:t>5 year survival</w:t>
            </w:r>
          </w:p>
        </w:tc>
      </w:tr>
      <w:tr w:rsidR="00071588" w:rsidRPr="001F7925" w:rsidTr="00071588">
        <w:trPr>
          <w:trHeight w:val="18"/>
        </w:trPr>
        <w:tc>
          <w:tcPr>
            <w:tcW w:w="1239"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center"/>
              <w:rPr>
                <w:b/>
                <w:sz w:val="20"/>
                <w:szCs w:val="20"/>
              </w:rPr>
            </w:pPr>
            <w:r>
              <w:rPr>
                <w:b/>
                <w:sz w:val="20"/>
                <w:szCs w:val="20"/>
              </w:rPr>
              <w:t>1</w:t>
            </w:r>
          </w:p>
        </w:tc>
        <w:tc>
          <w:tcPr>
            <w:tcW w:w="4715"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left"/>
              <w:rPr>
                <w:sz w:val="20"/>
                <w:szCs w:val="20"/>
              </w:rPr>
            </w:pPr>
            <w:r w:rsidRPr="00071588">
              <w:rPr>
                <w:sz w:val="20"/>
                <w:szCs w:val="20"/>
              </w:rPr>
              <w:t>&lt; 5cm diameter and localised within the lung</w:t>
            </w:r>
          </w:p>
        </w:tc>
        <w:tc>
          <w:tcPr>
            <w:tcW w:w="1134"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left"/>
              <w:rPr>
                <w:sz w:val="20"/>
                <w:szCs w:val="20"/>
              </w:rPr>
            </w:pPr>
            <w:r w:rsidRPr="00071588">
              <w:rPr>
                <w:sz w:val="20"/>
                <w:szCs w:val="20"/>
              </w:rPr>
              <w:t>40-70%</w:t>
            </w:r>
          </w:p>
        </w:tc>
      </w:tr>
      <w:tr w:rsidR="00071588" w:rsidRPr="001F7925" w:rsidTr="00071588">
        <w:trPr>
          <w:trHeight w:val="139"/>
        </w:trPr>
        <w:tc>
          <w:tcPr>
            <w:tcW w:w="1239"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center"/>
              <w:rPr>
                <w:b/>
                <w:sz w:val="20"/>
                <w:szCs w:val="20"/>
              </w:rPr>
            </w:pPr>
            <w:r>
              <w:rPr>
                <w:b/>
                <w:sz w:val="20"/>
                <w:szCs w:val="20"/>
              </w:rPr>
              <w:t>2</w:t>
            </w:r>
          </w:p>
        </w:tc>
        <w:tc>
          <w:tcPr>
            <w:tcW w:w="4715" w:type="dxa"/>
            <w:shd w:val="clear" w:color="auto" w:fill="auto"/>
            <w:tcMar>
              <w:top w:w="72" w:type="dxa"/>
              <w:left w:w="144" w:type="dxa"/>
              <w:bottom w:w="72" w:type="dxa"/>
              <w:right w:w="144" w:type="dxa"/>
            </w:tcMar>
            <w:vAlign w:val="center"/>
            <w:hideMark/>
          </w:tcPr>
          <w:p w:rsidR="00071588" w:rsidRPr="00071588" w:rsidRDefault="00071588" w:rsidP="00071588">
            <w:pPr>
              <w:spacing w:after="0"/>
              <w:jc w:val="left"/>
              <w:rPr>
                <w:sz w:val="20"/>
                <w:szCs w:val="20"/>
              </w:rPr>
            </w:pPr>
            <w:r w:rsidRPr="00071588">
              <w:rPr>
                <w:sz w:val="20"/>
                <w:szCs w:val="20"/>
              </w:rPr>
              <w:t xml:space="preserve">5-7 cm  diameter </w:t>
            </w:r>
          </w:p>
          <w:p w:rsidR="00071588" w:rsidRPr="001F7925" w:rsidRDefault="00071588" w:rsidP="00071588">
            <w:pPr>
              <w:spacing w:after="0"/>
              <w:jc w:val="left"/>
              <w:rPr>
                <w:sz w:val="20"/>
                <w:szCs w:val="20"/>
              </w:rPr>
            </w:pPr>
            <w:r w:rsidRPr="00071588">
              <w:rPr>
                <w:sz w:val="20"/>
                <w:szCs w:val="20"/>
              </w:rPr>
              <w:t>May be within lymph nodes</w:t>
            </w:r>
          </w:p>
        </w:tc>
        <w:tc>
          <w:tcPr>
            <w:tcW w:w="1134"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left"/>
              <w:rPr>
                <w:sz w:val="20"/>
                <w:szCs w:val="20"/>
              </w:rPr>
            </w:pPr>
            <w:r w:rsidRPr="00071588">
              <w:rPr>
                <w:sz w:val="20"/>
                <w:szCs w:val="20"/>
              </w:rPr>
              <w:t>25-45%</w:t>
            </w:r>
          </w:p>
        </w:tc>
      </w:tr>
      <w:tr w:rsidR="00071588" w:rsidRPr="001F7925" w:rsidTr="00071588">
        <w:trPr>
          <w:trHeight w:val="18"/>
        </w:trPr>
        <w:tc>
          <w:tcPr>
            <w:tcW w:w="1239"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center"/>
              <w:rPr>
                <w:b/>
                <w:sz w:val="20"/>
                <w:szCs w:val="20"/>
              </w:rPr>
            </w:pPr>
            <w:r>
              <w:rPr>
                <w:b/>
                <w:sz w:val="20"/>
                <w:szCs w:val="20"/>
              </w:rPr>
              <w:t>3</w:t>
            </w:r>
          </w:p>
        </w:tc>
        <w:tc>
          <w:tcPr>
            <w:tcW w:w="4715" w:type="dxa"/>
            <w:shd w:val="clear" w:color="auto" w:fill="auto"/>
            <w:tcMar>
              <w:top w:w="72" w:type="dxa"/>
              <w:left w:w="144" w:type="dxa"/>
              <w:bottom w:w="72" w:type="dxa"/>
              <w:right w:w="144" w:type="dxa"/>
            </w:tcMar>
            <w:vAlign w:val="center"/>
            <w:hideMark/>
          </w:tcPr>
          <w:p w:rsidR="00071588" w:rsidRPr="00071588" w:rsidRDefault="00071588" w:rsidP="00071588">
            <w:pPr>
              <w:spacing w:after="0"/>
              <w:jc w:val="left"/>
              <w:rPr>
                <w:sz w:val="20"/>
                <w:szCs w:val="20"/>
              </w:rPr>
            </w:pPr>
            <w:r w:rsidRPr="00071588">
              <w:rPr>
                <w:sz w:val="20"/>
                <w:szCs w:val="20"/>
              </w:rPr>
              <w:t>&gt; 7cm diameter</w:t>
            </w:r>
          </w:p>
          <w:p w:rsidR="00071588" w:rsidRPr="001F7925" w:rsidRDefault="00071588" w:rsidP="00071588">
            <w:pPr>
              <w:spacing w:after="0"/>
              <w:jc w:val="left"/>
              <w:rPr>
                <w:sz w:val="20"/>
                <w:szCs w:val="20"/>
              </w:rPr>
            </w:pPr>
            <w:r w:rsidRPr="00071588">
              <w:rPr>
                <w:sz w:val="20"/>
                <w:szCs w:val="20"/>
              </w:rPr>
              <w:t>and has metastasised</w:t>
            </w:r>
          </w:p>
        </w:tc>
        <w:tc>
          <w:tcPr>
            <w:tcW w:w="1134"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left"/>
              <w:rPr>
                <w:sz w:val="20"/>
                <w:szCs w:val="20"/>
              </w:rPr>
            </w:pPr>
            <w:r w:rsidRPr="00071588">
              <w:rPr>
                <w:sz w:val="20"/>
                <w:szCs w:val="20"/>
              </w:rPr>
              <w:t>7-24%</w:t>
            </w:r>
          </w:p>
        </w:tc>
      </w:tr>
      <w:tr w:rsidR="00071588" w:rsidRPr="001F7925" w:rsidTr="00071588">
        <w:trPr>
          <w:trHeight w:val="18"/>
        </w:trPr>
        <w:tc>
          <w:tcPr>
            <w:tcW w:w="1239"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center"/>
              <w:rPr>
                <w:b/>
                <w:sz w:val="20"/>
                <w:szCs w:val="20"/>
              </w:rPr>
            </w:pPr>
            <w:r>
              <w:rPr>
                <w:b/>
                <w:sz w:val="20"/>
                <w:szCs w:val="20"/>
              </w:rPr>
              <w:t>4</w:t>
            </w:r>
          </w:p>
        </w:tc>
        <w:tc>
          <w:tcPr>
            <w:tcW w:w="4715"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left"/>
              <w:rPr>
                <w:sz w:val="20"/>
                <w:szCs w:val="20"/>
              </w:rPr>
            </w:pPr>
            <w:r w:rsidRPr="00071588">
              <w:rPr>
                <w:sz w:val="20"/>
                <w:szCs w:val="20"/>
              </w:rPr>
              <w:t>In both lungs and has metastasised</w:t>
            </w:r>
          </w:p>
        </w:tc>
        <w:tc>
          <w:tcPr>
            <w:tcW w:w="1134"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left"/>
              <w:rPr>
                <w:sz w:val="20"/>
                <w:szCs w:val="20"/>
              </w:rPr>
            </w:pPr>
            <w:r w:rsidRPr="00071588">
              <w:rPr>
                <w:sz w:val="20"/>
                <w:szCs w:val="20"/>
              </w:rPr>
              <w:t>2-13%</w:t>
            </w:r>
          </w:p>
        </w:tc>
      </w:tr>
    </w:tbl>
    <w:p w:rsidR="00071588" w:rsidRDefault="00071588" w:rsidP="00A1540A">
      <w:pPr>
        <w:rPr>
          <w:rFonts w:cs="Arial"/>
        </w:rPr>
      </w:pPr>
    </w:p>
    <w:p w:rsidR="00A1540A" w:rsidRPr="00A1540A" w:rsidRDefault="00A1540A" w:rsidP="00A1540A">
      <w:pPr>
        <w:pStyle w:val="Heading2"/>
        <w:rPr>
          <w:rFonts w:eastAsia="Calibri"/>
          <w:b w:val="0"/>
          <w:bCs w:val="0"/>
          <w:i/>
          <w:iCs w:val="0"/>
          <w:sz w:val="22"/>
          <w:szCs w:val="22"/>
        </w:rPr>
      </w:pPr>
      <w:r w:rsidRPr="00A1540A">
        <w:rPr>
          <w:rFonts w:eastAsia="Calibri"/>
          <w:b w:val="0"/>
          <w:bCs w:val="0"/>
          <w:i/>
          <w:iCs w:val="0"/>
          <w:sz w:val="22"/>
          <w:szCs w:val="22"/>
        </w:rPr>
        <w:t>Adjuvant chemotherapy</w:t>
      </w:r>
    </w:p>
    <w:p w:rsidR="00A1540A" w:rsidRPr="00A1540A" w:rsidRDefault="00A1540A" w:rsidP="00A1540A">
      <w:pPr>
        <w:pStyle w:val="Heading2"/>
        <w:spacing w:before="0" w:after="120"/>
        <w:rPr>
          <w:rFonts w:eastAsia="Calibri"/>
          <w:b w:val="0"/>
          <w:bCs w:val="0"/>
          <w:iCs w:val="0"/>
          <w:sz w:val="22"/>
          <w:szCs w:val="22"/>
        </w:rPr>
      </w:pPr>
      <w:r w:rsidRPr="00A1540A">
        <w:rPr>
          <w:rFonts w:eastAsia="Calibri"/>
          <w:b w:val="0"/>
          <w:bCs w:val="0"/>
          <w:iCs w:val="0"/>
          <w:sz w:val="22"/>
          <w:szCs w:val="22"/>
        </w:rPr>
        <w:t>Chemotherapy is given post-surgery to patients with stage 2 an</w:t>
      </w:r>
      <w:r w:rsidR="00BD2860">
        <w:rPr>
          <w:rFonts w:eastAsia="Calibri"/>
          <w:b w:val="0"/>
          <w:bCs w:val="0"/>
          <w:iCs w:val="0"/>
          <w:sz w:val="22"/>
          <w:szCs w:val="22"/>
        </w:rPr>
        <w:t>d</w:t>
      </w:r>
      <w:r w:rsidRPr="00A1540A">
        <w:rPr>
          <w:rFonts w:eastAsia="Calibri"/>
          <w:b w:val="0"/>
          <w:bCs w:val="0"/>
          <w:iCs w:val="0"/>
          <w:sz w:val="22"/>
          <w:szCs w:val="22"/>
        </w:rPr>
        <w:t xml:space="preserve"> above NSCLC</w:t>
      </w:r>
      <w:r>
        <w:rPr>
          <w:rFonts w:eastAsia="Calibri"/>
          <w:b w:val="0"/>
          <w:bCs w:val="0"/>
          <w:iCs w:val="0"/>
          <w:sz w:val="22"/>
          <w:szCs w:val="22"/>
        </w:rPr>
        <w:t xml:space="preserve"> and s</w:t>
      </w:r>
      <w:r w:rsidRPr="00A1540A">
        <w:rPr>
          <w:rFonts w:eastAsia="Calibri"/>
          <w:b w:val="0"/>
          <w:bCs w:val="0"/>
          <w:iCs w:val="0"/>
          <w:sz w:val="22"/>
          <w:szCs w:val="22"/>
        </w:rPr>
        <w:t>tandard tr</w:t>
      </w:r>
      <w:r w:rsidR="007E1DAF">
        <w:rPr>
          <w:rFonts w:eastAsia="Calibri"/>
          <w:b w:val="0"/>
          <w:bCs w:val="0"/>
          <w:iCs w:val="0"/>
          <w:sz w:val="22"/>
          <w:szCs w:val="22"/>
        </w:rPr>
        <w:t>eatment is platinum-therapy</w:t>
      </w:r>
      <w:r>
        <w:rPr>
          <w:rFonts w:eastAsia="Calibri"/>
          <w:b w:val="0"/>
          <w:bCs w:val="0"/>
          <w:iCs w:val="0"/>
          <w:sz w:val="22"/>
          <w:szCs w:val="22"/>
        </w:rPr>
        <w:t>, which consists of either:</w:t>
      </w:r>
    </w:p>
    <w:p w:rsidR="00A1540A" w:rsidRPr="00A1540A" w:rsidRDefault="00A1540A" w:rsidP="00822BCF">
      <w:pPr>
        <w:pStyle w:val="Heading2"/>
        <w:numPr>
          <w:ilvl w:val="0"/>
          <w:numId w:val="13"/>
        </w:numPr>
        <w:spacing w:before="0" w:after="0"/>
        <w:ind w:left="714" w:hanging="357"/>
        <w:rPr>
          <w:rFonts w:eastAsia="Calibri"/>
          <w:b w:val="0"/>
          <w:bCs w:val="0"/>
          <w:iCs w:val="0"/>
          <w:sz w:val="22"/>
          <w:szCs w:val="22"/>
        </w:rPr>
      </w:pPr>
      <w:proofErr w:type="spellStart"/>
      <w:r w:rsidRPr="00A1540A">
        <w:rPr>
          <w:rFonts w:eastAsia="Calibri"/>
          <w:b w:val="0"/>
          <w:bCs w:val="0"/>
          <w:iCs w:val="0"/>
          <w:sz w:val="22"/>
          <w:szCs w:val="22"/>
        </w:rPr>
        <w:t>Cisplatin</w:t>
      </w:r>
      <w:proofErr w:type="spellEnd"/>
      <w:r w:rsidRPr="00A1540A">
        <w:rPr>
          <w:rFonts w:eastAsia="Calibri"/>
          <w:b w:val="0"/>
          <w:bCs w:val="0"/>
          <w:iCs w:val="0"/>
          <w:sz w:val="22"/>
          <w:szCs w:val="22"/>
        </w:rPr>
        <w:t xml:space="preserve"> &amp; </w:t>
      </w:r>
      <w:proofErr w:type="spellStart"/>
      <w:r w:rsidRPr="00A1540A">
        <w:rPr>
          <w:rFonts w:eastAsia="Calibri"/>
          <w:b w:val="0"/>
          <w:bCs w:val="0"/>
          <w:iCs w:val="0"/>
          <w:sz w:val="22"/>
          <w:szCs w:val="22"/>
        </w:rPr>
        <w:t>etoposide</w:t>
      </w:r>
      <w:proofErr w:type="spellEnd"/>
    </w:p>
    <w:p w:rsidR="00A1540A" w:rsidRPr="00A1540A" w:rsidRDefault="00A1540A" w:rsidP="00822BCF">
      <w:pPr>
        <w:pStyle w:val="Heading2"/>
        <w:numPr>
          <w:ilvl w:val="0"/>
          <w:numId w:val="13"/>
        </w:numPr>
        <w:spacing w:before="0" w:after="0"/>
        <w:ind w:left="714" w:hanging="357"/>
        <w:rPr>
          <w:rFonts w:eastAsia="Calibri"/>
          <w:b w:val="0"/>
          <w:bCs w:val="0"/>
          <w:iCs w:val="0"/>
          <w:sz w:val="22"/>
          <w:szCs w:val="22"/>
        </w:rPr>
      </w:pPr>
      <w:r w:rsidRPr="00A1540A">
        <w:rPr>
          <w:rFonts w:eastAsia="Calibri"/>
          <w:b w:val="0"/>
          <w:bCs w:val="0"/>
          <w:iCs w:val="0"/>
          <w:sz w:val="22"/>
          <w:szCs w:val="22"/>
        </w:rPr>
        <w:t xml:space="preserve">Carboplatin &amp; </w:t>
      </w:r>
      <w:proofErr w:type="spellStart"/>
      <w:r w:rsidRPr="00A1540A">
        <w:rPr>
          <w:rFonts w:eastAsia="Calibri"/>
          <w:b w:val="0"/>
          <w:bCs w:val="0"/>
          <w:iCs w:val="0"/>
          <w:sz w:val="22"/>
          <w:szCs w:val="22"/>
        </w:rPr>
        <w:t>etoposide</w:t>
      </w:r>
      <w:proofErr w:type="spellEnd"/>
    </w:p>
    <w:p w:rsidR="00A1540A" w:rsidRPr="00A1540A" w:rsidRDefault="00A1540A" w:rsidP="00822BCF">
      <w:pPr>
        <w:pStyle w:val="Heading2"/>
        <w:numPr>
          <w:ilvl w:val="0"/>
          <w:numId w:val="13"/>
        </w:numPr>
        <w:spacing w:before="0" w:after="0"/>
        <w:ind w:left="714" w:hanging="357"/>
        <w:rPr>
          <w:rFonts w:eastAsia="Calibri"/>
          <w:b w:val="0"/>
          <w:bCs w:val="0"/>
          <w:iCs w:val="0"/>
          <w:sz w:val="22"/>
          <w:szCs w:val="22"/>
        </w:rPr>
      </w:pPr>
      <w:r w:rsidRPr="00A1540A">
        <w:rPr>
          <w:rFonts w:eastAsia="Calibri"/>
          <w:b w:val="0"/>
          <w:bCs w:val="0"/>
          <w:iCs w:val="0"/>
          <w:sz w:val="22"/>
          <w:szCs w:val="22"/>
        </w:rPr>
        <w:t>Carboplatin &amp; gemcitabine</w:t>
      </w:r>
    </w:p>
    <w:p w:rsidR="00A1540A" w:rsidRPr="00A1540A" w:rsidRDefault="009618A0" w:rsidP="00822BCF">
      <w:pPr>
        <w:pStyle w:val="Heading2"/>
        <w:numPr>
          <w:ilvl w:val="0"/>
          <w:numId w:val="13"/>
        </w:numPr>
        <w:spacing w:before="0" w:after="120"/>
        <w:ind w:left="714" w:hanging="357"/>
        <w:rPr>
          <w:rFonts w:eastAsia="Calibri"/>
          <w:b w:val="0"/>
          <w:bCs w:val="0"/>
          <w:iCs w:val="0"/>
          <w:sz w:val="22"/>
          <w:szCs w:val="22"/>
        </w:rPr>
      </w:pPr>
      <w:proofErr w:type="spellStart"/>
      <w:r>
        <w:rPr>
          <w:rFonts w:eastAsia="Calibri"/>
          <w:b w:val="0"/>
          <w:bCs w:val="0"/>
          <w:iCs w:val="0"/>
          <w:sz w:val="22"/>
          <w:szCs w:val="22"/>
        </w:rPr>
        <w:t>Cisplatin</w:t>
      </w:r>
      <w:proofErr w:type="spellEnd"/>
      <w:r>
        <w:rPr>
          <w:rFonts w:eastAsia="Calibri"/>
          <w:b w:val="0"/>
          <w:bCs w:val="0"/>
          <w:iCs w:val="0"/>
          <w:sz w:val="22"/>
          <w:szCs w:val="22"/>
        </w:rPr>
        <w:t xml:space="preserve"> &amp; carboplatin</w:t>
      </w:r>
    </w:p>
    <w:p w:rsidR="00F62600" w:rsidRDefault="00FB3AF9" w:rsidP="006D7D14">
      <w:pPr>
        <w:pStyle w:val="Heading2"/>
        <w:spacing w:before="0" w:after="120"/>
        <w:ind w:firstLine="714"/>
        <w:rPr>
          <w:rFonts w:eastAsia="Calibri"/>
          <w:bCs w:val="0"/>
          <w:iCs w:val="0"/>
          <w:sz w:val="22"/>
          <w:szCs w:val="22"/>
        </w:rPr>
      </w:pPr>
      <w:r>
        <w:rPr>
          <w:rFonts w:eastAsia="Calibri"/>
          <w:bCs w:val="0"/>
          <w:iCs w:val="0"/>
          <w:sz w:val="22"/>
          <w:szCs w:val="22"/>
        </w:rPr>
        <w:t xml:space="preserve">Alkylating agents- </w:t>
      </w:r>
      <w:r w:rsidR="00F62600" w:rsidRPr="00F62600">
        <w:rPr>
          <w:rFonts w:eastAsia="Calibri"/>
          <w:bCs w:val="0"/>
          <w:iCs w:val="0"/>
          <w:sz w:val="22"/>
          <w:szCs w:val="22"/>
        </w:rPr>
        <w:t>P</w:t>
      </w:r>
      <w:r w:rsidR="00A1540A" w:rsidRPr="00F62600">
        <w:rPr>
          <w:rFonts w:eastAsia="Calibri"/>
          <w:bCs w:val="0"/>
          <w:iCs w:val="0"/>
          <w:sz w:val="22"/>
          <w:szCs w:val="22"/>
        </w:rPr>
        <w:t>latinum compounds</w:t>
      </w:r>
    </w:p>
    <w:p w:rsidR="00A1540A" w:rsidRDefault="00F62600" w:rsidP="00BD2860">
      <w:pPr>
        <w:pStyle w:val="Heading2"/>
        <w:spacing w:before="0" w:after="120"/>
        <w:rPr>
          <w:rFonts w:eastAsia="Calibri"/>
          <w:b w:val="0"/>
          <w:bCs w:val="0"/>
          <w:iCs w:val="0"/>
          <w:sz w:val="22"/>
          <w:szCs w:val="22"/>
        </w:rPr>
      </w:pPr>
      <w:proofErr w:type="spellStart"/>
      <w:r>
        <w:rPr>
          <w:rFonts w:eastAsia="Calibri"/>
          <w:bCs w:val="0"/>
          <w:iCs w:val="0"/>
          <w:sz w:val="22"/>
          <w:szCs w:val="22"/>
        </w:rPr>
        <w:t>C</w:t>
      </w:r>
      <w:r w:rsidR="00A1540A" w:rsidRPr="00A1540A">
        <w:rPr>
          <w:rFonts w:eastAsia="Calibri"/>
          <w:bCs w:val="0"/>
          <w:iCs w:val="0"/>
          <w:sz w:val="22"/>
          <w:szCs w:val="22"/>
        </w:rPr>
        <w:t>isplatin</w:t>
      </w:r>
      <w:proofErr w:type="spellEnd"/>
      <w:r w:rsidR="007E1DAF">
        <w:rPr>
          <w:rFonts w:eastAsia="Calibri"/>
          <w:bCs w:val="0"/>
          <w:iCs w:val="0"/>
          <w:sz w:val="22"/>
          <w:szCs w:val="22"/>
        </w:rPr>
        <w:t xml:space="preserve"> </w:t>
      </w:r>
      <w:r w:rsidR="007E1DAF">
        <w:rPr>
          <w:rFonts w:eastAsia="Calibri"/>
          <w:b w:val="0"/>
          <w:bCs w:val="0"/>
          <w:iCs w:val="0"/>
          <w:sz w:val="22"/>
          <w:szCs w:val="22"/>
        </w:rPr>
        <w:t>(I-V)</w:t>
      </w:r>
      <w:r>
        <w:rPr>
          <w:rFonts w:eastAsia="Calibri"/>
          <w:b w:val="0"/>
          <w:bCs w:val="0"/>
          <w:iCs w:val="0"/>
          <w:sz w:val="22"/>
          <w:szCs w:val="22"/>
        </w:rPr>
        <w:t xml:space="preserve"> and </w:t>
      </w:r>
      <w:r w:rsidR="00A1540A" w:rsidRPr="00A1540A">
        <w:rPr>
          <w:rFonts w:eastAsia="Calibri"/>
          <w:bCs w:val="0"/>
          <w:iCs w:val="0"/>
          <w:sz w:val="22"/>
          <w:szCs w:val="22"/>
        </w:rPr>
        <w:t>carboplatin</w:t>
      </w:r>
      <w:r w:rsidR="007E1DAF">
        <w:rPr>
          <w:rFonts w:eastAsia="Calibri"/>
          <w:bCs w:val="0"/>
          <w:iCs w:val="0"/>
          <w:sz w:val="22"/>
          <w:szCs w:val="22"/>
        </w:rPr>
        <w:t xml:space="preserve"> </w:t>
      </w:r>
      <w:r w:rsidR="007E1DAF">
        <w:rPr>
          <w:rFonts w:eastAsia="Calibri"/>
          <w:b w:val="0"/>
          <w:bCs w:val="0"/>
          <w:iCs w:val="0"/>
          <w:sz w:val="22"/>
          <w:szCs w:val="22"/>
        </w:rPr>
        <w:t>(I-V)</w:t>
      </w:r>
      <w:r w:rsidR="00A1540A">
        <w:rPr>
          <w:rFonts w:eastAsia="Calibri"/>
          <w:b w:val="0"/>
          <w:bCs w:val="0"/>
          <w:iCs w:val="0"/>
          <w:sz w:val="22"/>
          <w:szCs w:val="22"/>
        </w:rPr>
        <w:t xml:space="preserve"> are a</w:t>
      </w:r>
      <w:r w:rsidR="00A1540A" w:rsidRPr="00A1540A">
        <w:rPr>
          <w:rFonts w:eastAsia="Calibri"/>
          <w:b w:val="0"/>
          <w:bCs w:val="0"/>
          <w:iCs w:val="0"/>
          <w:sz w:val="22"/>
          <w:szCs w:val="22"/>
        </w:rPr>
        <w:t>lkylating (-like) agents that crosslink DNA guanine residues</w:t>
      </w:r>
      <w:r w:rsidR="00B37002">
        <w:rPr>
          <w:rFonts w:eastAsia="Calibri"/>
          <w:b w:val="0"/>
          <w:bCs w:val="0"/>
          <w:iCs w:val="0"/>
          <w:sz w:val="22"/>
          <w:szCs w:val="22"/>
        </w:rPr>
        <w:t xml:space="preserve"> forming DNA adducts.</w:t>
      </w:r>
      <w:r>
        <w:rPr>
          <w:rFonts w:eastAsia="Calibri"/>
          <w:b w:val="0"/>
          <w:bCs w:val="0"/>
          <w:iCs w:val="0"/>
          <w:sz w:val="22"/>
          <w:szCs w:val="22"/>
        </w:rPr>
        <w:t xml:space="preserve"> </w:t>
      </w:r>
      <w:proofErr w:type="spellStart"/>
      <w:r>
        <w:rPr>
          <w:rFonts w:eastAsia="Calibri"/>
          <w:b w:val="0"/>
          <w:bCs w:val="0"/>
          <w:iCs w:val="0"/>
          <w:sz w:val="22"/>
          <w:szCs w:val="22"/>
        </w:rPr>
        <w:t>Cisplatin</w:t>
      </w:r>
      <w:proofErr w:type="spellEnd"/>
      <w:r>
        <w:rPr>
          <w:rFonts w:eastAsia="Calibri"/>
          <w:b w:val="0"/>
          <w:bCs w:val="0"/>
          <w:iCs w:val="0"/>
          <w:sz w:val="22"/>
          <w:szCs w:val="22"/>
        </w:rPr>
        <w:t xml:space="preserve"> has a broad range of activity but also a broad range of toxicity.</w:t>
      </w:r>
      <w:r w:rsidR="00BD2860">
        <w:rPr>
          <w:rFonts w:eastAsia="Calibri"/>
          <w:b w:val="0"/>
          <w:bCs w:val="0"/>
          <w:iCs w:val="0"/>
          <w:sz w:val="22"/>
          <w:szCs w:val="22"/>
        </w:rPr>
        <w:t xml:space="preserve"> Carboplatin is associated with lower incidences of emesis and nephrotoxicity but more bone marrow toxicity.</w:t>
      </w:r>
      <w:r>
        <w:rPr>
          <w:rFonts w:eastAsia="Calibri"/>
          <w:b w:val="0"/>
          <w:bCs w:val="0"/>
          <w:iCs w:val="0"/>
          <w:sz w:val="22"/>
          <w:szCs w:val="22"/>
        </w:rPr>
        <w:t xml:space="preserve"> </w:t>
      </w:r>
    </w:p>
    <w:p w:rsidR="006D7D14" w:rsidRPr="006D7D14" w:rsidRDefault="006D7D14" w:rsidP="006D7D14">
      <w:pPr>
        <w:spacing w:after="120"/>
        <w:ind w:firstLine="720"/>
        <w:rPr>
          <w:b/>
        </w:rPr>
      </w:pPr>
      <w:r w:rsidRPr="006D7D14">
        <w:rPr>
          <w:b/>
        </w:rPr>
        <w:t>Top</w:t>
      </w:r>
      <w:r>
        <w:rPr>
          <w:b/>
        </w:rPr>
        <w:t>o</w:t>
      </w:r>
      <w:r w:rsidRPr="006D7D14">
        <w:rPr>
          <w:b/>
        </w:rPr>
        <w:t>isomerase inhibitors</w:t>
      </w:r>
    </w:p>
    <w:p w:rsidR="00822BCF" w:rsidRDefault="00A3362E" w:rsidP="00A1540A">
      <w:pPr>
        <w:pStyle w:val="Heading2"/>
        <w:spacing w:before="0" w:after="0"/>
        <w:rPr>
          <w:rFonts w:eastAsia="Calibri"/>
          <w:b w:val="0"/>
          <w:bCs w:val="0"/>
          <w:iCs w:val="0"/>
          <w:sz w:val="22"/>
          <w:szCs w:val="22"/>
        </w:rPr>
      </w:pPr>
      <w:r>
        <w:rPr>
          <w:rFonts w:eastAsia="Calibri"/>
          <w:b w:val="0"/>
          <w:bCs w:val="0"/>
          <w:iCs w:val="0"/>
          <w:sz w:val="22"/>
          <w:szCs w:val="22"/>
        </w:rPr>
        <w:t xml:space="preserve">The topoisomerase enzymes </w:t>
      </w:r>
      <w:r w:rsidR="006D7D14">
        <w:rPr>
          <w:rFonts w:eastAsia="Calibri"/>
          <w:b w:val="0"/>
          <w:bCs w:val="0"/>
          <w:iCs w:val="0"/>
          <w:sz w:val="22"/>
          <w:szCs w:val="22"/>
        </w:rPr>
        <w:t xml:space="preserve">play an </w:t>
      </w:r>
      <w:r w:rsidR="003F61AC">
        <w:rPr>
          <w:rFonts w:eastAsia="Calibri"/>
          <w:b w:val="0"/>
          <w:bCs w:val="0"/>
          <w:iCs w:val="0"/>
          <w:sz w:val="22"/>
          <w:szCs w:val="22"/>
        </w:rPr>
        <w:t xml:space="preserve">essential </w:t>
      </w:r>
      <w:r w:rsidR="006D7D14">
        <w:rPr>
          <w:rFonts w:eastAsia="Calibri"/>
          <w:b w:val="0"/>
          <w:bCs w:val="0"/>
          <w:iCs w:val="0"/>
          <w:sz w:val="22"/>
          <w:szCs w:val="22"/>
        </w:rPr>
        <w:t xml:space="preserve">role in </w:t>
      </w:r>
      <w:r w:rsidR="003F61AC">
        <w:rPr>
          <w:rFonts w:eastAsia="Calibri"/>
          <w:b w:val="0"/>
          <w:bCs w:val="0"/>
          <w:iCs w:val="0"/>
          <w:sz w:val="22"/>
          <w:szCs w:val="22"/>
        </w:rPr>
        <w:t>separating</w:t>
      </w:r>
      <w:r w:rsidR="006D7D14">
        <w:rPr>
          <w:rFonts w:eastAsia="Calibri"/>
          <w:b w:val="0"/>
          <w:bCs w:val="0"/>
          <w:iCs w:val="0"/>
          <w:sz w:val="22"/>
          <w:szCs w:val="22"/>
        </w:rPr>
        <w:t xml:space="preserve"> the DNA strands</w:t>
      </w:r>
      <w:r w:rsidR="003F61AC">
        <w:rPr>
          <w:rFonts w:eastAsia="Calibri"/>
          <w:b w:val="0"/>
          <w:bCs w:val="0"/>
          <w:iCs w:val="0"/>
          <w:sz w:val="22"/>
          <w:szCs w:val="22"/>
        </w:rPr>
        <w:t xml:space="preserve"> during replications. The type I enzymes are only able to cut a single DNA strand whilst the type II enzymes are able to cut both strands of the DNA double helix.</w:t>
      </w:r>
      <w:r w:rsidR="006D7D14">
        <w:rPr>
          <w:rFonts w:eastAsia="Calibri"/>
          <w:b w:val="0"/>
          <w:bCs w:val="0"/>
          <w:iCs w:val="0"/>
          <w:sz w:val="22"/>
          <w:szCs w:val="22"/>
        </w:rPr>
        <w:t xml:space="preserve"> </w:t>
      </w:r>
      <w:proofErr w:type="spellStart"/>
      <w:r w:rsidR="00A1540A" w:rsidRPr="00A1540A">
        <w:rPr>
          <w:rFonts w:eastAsia="Calibri"/>
          <w:bCs w:val="0"/>
          <w:iCs w:val="0"/>
          <w:sz w:val="22"/>
          <w:szCs w:val="22"/>
        </w:rPr>
        <w:t>Etoposide</w:t>
      </w:r>
      <w:proofErr w:type="spellEnd"/>
      <w:r w:rsidR="00A1540A" w:rsidRPr="00A1540A">
        <w:rPr>
          <w:rFonts w:eastAsia="Calibri"/>
          <w:b w:val="0"/>
          <w:bCs w:val="0"/>
          <w:iCs w:val="0"/>
          <w:sz w:val="22"/>
          <w:szCs w:val="22"/>
        </w:rPr>
        <w:t xml:space="preserve"> (oral)</w:t>
      </w:r>
      <w:r w:rsidR="00A1540A">
        <w:rPr>
          <w:rFonts w:eastAsia="Calibri"/>
          <w:b w:val="0"/>
          <w:bCs w:val="0"/>
          <w:iCs w:val="0"/>
          <w:sz w:val="22"/>
          <w:szCs w:val="22"/>
        </w:rPr>
        <w:t xml:space="preserve"> is a</w:t>
      </w:r>
      <w:r w:rsidR="00A1540A" w:rsidRPr="00A1540A">
        <w:rPr>
          <w:rFonts w:eastAsia="Calibri"/>
          <w:b w:val="0"/>
          <w:bCs w:val="0"/>
          <w:iCs w:val="0"/>
          <w:sz w:val="22"/>
          <w:szCs w:val="22"/>
        </w:rPr>
        <w:t xml:space="preserve"> natural product that is a</w:t>
      </w:r>
      <w:r w:rsidR="00F62600">
        <w:rPr>
          <w:rFonts w:eastAsia="Calibri"/>
          <w:b w:val="0"/>
          <w:bCs w:val="0"/>
          <w:iCs w:val="0"/>
          <w:sz w:val="22"/>
          <w:szCs w:val="22"/>
        </w:rPr>
        <w:t xml:space="preserve"> </w:t>
      </w:r>
      <w:r w:rsidR="00F62600">
        <w:rPr>
          <w:rFonts w:eastAsia="Calibri"/>
          <w:b w:val="0"/>
          <w:bCs w:val="0"/>
          <w:iCs w:val="0"/>
          <w:sz w:val="22"/>
          <w:szCs w:val="22"/>
        </w:rPr>
        <w:lastRenderedPageBreak/>
        <w:t>type II</w:t>
      </w:r>
      <w:r w:rsidR="00A1540A" w:rsidRPr="00A1540A">
        <w:rPr>
          <w:rFonts w:eastAsia="Calibri"/>
          <w:b w:val="0"/>
          <w:bCs w:val="0"/>
          <w:iCs w:val="0"/>
          <w:sz w:val="22"/>
          <w:szCs w:val="22"/>
        </w:rPr>
        <w:t xml:space="preserve"> </w:t>
      </w:r>
      <w:r w:rsidR="00A1540A" w:rsidRPr="00F62600">
        <w:rPr>
          <w:rFonts w:eastAsia="Calibri"/>
          <w:bCs w:val="0"/>
          <w:iCs w:val="0"/>
          <w:sz w:val="22"/>
          <w:szCs w:val="22"/>
        </w:rPr>
        <w:t xml:space="preserve">topoisomerase </w:t>
      </w:r>
      <w:r w:rsidR="00F62600" w:rsidRPr="00F62600">
        <w:rPr>
          <w:rFonts w:eastAsia="Calibri"/>
          <w:bCs w:val="0"/>
          <w:iCs w:val="0"/>
          <w:sz w:val="22"/>
          <w:szCs w:val="22"/>
        </w:rPr>
        <w:t>inhibitor</w:t>
      </w:r>
      <w:r w:rsidR="00F62600">
        <w:rPr>
          <w:rFonts w:eastAsia="Calibri"/>
          <w:b w:val="0"/>
          <w:bCs w:val="0"/>
          <w:iCs w:val="0"/>
          <w:sz w:val="22"/>
          <w:szCs w:val="22"/>
        </w:rPr>
        <w:t xml:space="preserve">. The main toxic side-effect associated with </w:t>
      </w:r>
      <w:proofErr w:type="spellStart"/>
      <w:r w:rsidR="00F62600">
        <w:rPr>
          <w:rFonts w:eastAsia="Calibri"/>
          <w:b w:val="0"/>
          <w:bCs w:val="0"/>
          <w:iCs w:val="0"/>
          <w:sz w:val="22"/>
          <w:szCs w:val="22"/>
        </w:rPr>
        <w:t>etoposide</w:t>
      </w:r>
      <w:proofErr w:type="spellEnd"/>
      <w:r w:rsidR="00F62600">
        <w:rPr>
          <w:rFonts w:eastAsia="Calibri"/>
          <w:b w:val="0"/>
          <w:bCs w:val="0"/>
          <w:iCs w:val="0"/>
          <w:sz w:val="22"/>
          <w:szCs w:val="22"/>
        </w:rPr>
        <w:t xml:space="preserve"> is </w:t>
      </w:r>
      <w:proofErr w:type="spellStart"/>
      <w:r w:rsidR="00F62600">
        <w:rPr>
          <w:rFonts w:eastAsia="Calibri"/>
          <w:b w:val="0"/>
          <w:bCs w:val="0"/>
          <w:iCs w:val="0"/>
          <w:sz w:val="22"/>
          <w:szCs w:val="22"/>
        </w:rPr>
        <w:t>myelo</w:t>
      </w:r>
      <w:proofErr w:type="spellEnd"/>
      <w:r w:rsidR="00F62600">
        <w:rPr>
          <w:rFonts w:eastAsia="Calibri"/>
          <w:b w:val="0"/>
          <w:bCs w:val="0"/>
          <w:iCs w:val="0"/>
          <w:sz w:val="22"/>
          <w:szCs w:val="22"/>
        </w:rPr>
        <w:t xml:space="preserve">-suppression. </w:t>
      </w:r>
    </w:p>
    <w:p w:rsidR="00A1540A" w:rsidRPr="00A1540A" w:rsidRDefault="00A1540A" w:rsidP="0002542D">
      <w:pPr>
        <w:pStyle w:val="Heading2"/>
        <w:spacing w:before="0" w:after="120"/>
        <w:rPr>
          <w:rFonts w:eastAsia="Calibri"/>
          <w:b w:val="0"/>
          <w:bCs w:val="0"/>
          <w:iCs w:val="0"/>
          <w:sz w:val="22"/>
          <w:szCs w:val="22"/>
        </w:rPr>
      </w:pPr>
    </w:p>
    <w:p w:rsidR="00A1540A" w:rsidRPr="00A1540A" w:rsidRDefault="00A1540A" w:rsidP="00A1540A">
      <w:pPr>
        <w:pStyle w:val="Heading2"/>
        <w:spacing w:before="0" w:after="120"/>
        <w:rPr>
          <w:rFonts w:eastAsia="Calibri"/>
          <w:b w:val="0"/>
          <w:bCs w:val="0"/>
          <w:iCs w:val="0"/>
          <w:sz w:val="22"/>
          <w:szCs w:val="22"/>
        </w:rPr>
      </w:pPr>
      <w:r w:rsidRPr="00A1540A">
        <w:rPr>
          <w:rFonts w:eastAsia="Calibri"/>
          <w:bCs w:val="0"/>
          <w:iCs w:val="0"/>
          <w:sz w:val="22"/>
          <w:szCs w:val="22"/>
        </w:rPr>
        <w:t>Gemcitabine</w:t>
      </w:r>
      <w:r w:rsidRPr="00A1540A">
        <w:rPr>
          <w:rFonts w:eastAsia="Calibri"/>
          <w:b w:val="0"/>
          <w:bCs w:val="0"/>
          <w:iCs w:val="0"/>
          <w:sz w:val="22"/>
          <w:szCs w:val="22"/>
        </w:rPr>
        <w:t xml:space="preserve"> (I-V)</w:t>
      </w:r>
      <w:r>
        <w:rPr>
          <w:rFonts w:eastAsia="Calibri"/>
          <w:b w:val="0"/>
          <w:bCs w:val="0"/>
          <w:iCs w:val="0"/>
          <w:sz w:val="22"/>
          <w:szCs w:val="22"/>
        </w:rPr>
        <w:t xml:space="preserve"> is a</w:t>
      </w:r>
      <w:r w:rsidRPr="00A1540A">
        <w:rPr>
          <w:rFonts w:eastAsia="Calibri"/>
          <w:b w:val="0"/>
          <w:bCs w:val="0"/>
          <w:iCs w:val="0"/>
          <w:sz w:val="22"/>
          <w:szCs w:val="22"/>
        </w:rPr>
        <w:t>n anti-metabolite</w:t>
      </w:r>
      <w:r w:rsidR="007E1DAF">
        <w:rPr>
          <w:rFonts w:eastAsia="Calibri"/>
          <w:b w:val="0"/>
          <w:bCs w:val="0"/>
          <w:iCs w:val="0"/>
          <w:sz w:val="22"/>
          <w:szCs w:val="22"/>
        </w:rPr>
        <w:t xml:space="preserve"> (see table X)</w:t>
      </w:r>
      <w:r w:rsidRPr="00A1540A">
        <w:rPr>
          <w:rFonts w:eastAsia="Calibri"/>
          <w:b w:val="0"/>
          <w:bCs w:val="0"/>
          <w:iCs w:val="0"/>
          <w:sz w:val="22"/>
          <w:szCs w:val="22"/>
        </w:rPr>
        <w:t xml:space="preserve"> that:</w:t>
      </w:r>
    </w:p>
    <w:p w:rsidR="00A1540A" w:rsidRPr="00A1540A" w:rsidRDefault="00A1540A" w:rsidP="00822BCF">
      <w:pPr>
        <w:pStyle w:val="Heading2"/>
        <w:numPr>
          <w:ilvl w:val="0"/>
          <w:numId w:val="14"/>
        </w:numPr>
        <w:spacing w:before="0" w:after="0"/>
        <w:ind w:left="714" w:hanging="357"/>
        <w:rPr>
          <w:rFonts w:eastAsia="Calibri"/>
          <w:b w:val="0"/>
          <w:bCs w:val="0"/>
          <w:iCs w:val="0"/>
          <w:sz w:val="22"/>
          <w:szCs w:val="22"/>
        </w:rPr>
      </w:pPr>
      <w:r w:rsidRPr="00A1540A">
        <w:rPr>
          <w:rFonts w:eastAsia="Calibri"/>
          <w:b w:val="0"/>
          <w:bCs w:val="0"/>
          <w:iCs w:val="0"/>
          <w:sz w:val="22"/>
          <w:szCs w:val="22"/>
        </w:rPr>
        <w:t xml:space="preserve">Inhibits </w:t>
      </w:r>
      <w:proofErr w:type="spellStart"/>
      <w:r w:rsidRPr="00A1540A">
        <w:rPr>
          <w:rFonts w:eastAsia="Calibri"/>
          <w:b w:val="0"/>
          <w:bCs w:val="0"/>
          <w:iCs w:val="0"/>
          <w:sz w:val="22"/>
          <w:szCs w:val="22"/>
        </w:rPr>
        <w:t>ribonucleotide</w:t>
      </w:r>
      <w:proofErr w:type="spellEnd"/>
      <w:r w:rsidRPr="00A1540A">
        <w:rPr>
          <w:rFonts w:eastAsia="Calibri"/>
          <w:b w:val="0"/>
          <w:bCs w:val="0"/>
          <w:iCs w:val="0"/>
          <w:sz w:val="22"/>
          <w:szCs w:val="22"/>
        </w:rPr>
        <w:t xml:space="preserve"> </w:t>
      </w:r>
      <w:proofErr w:type="spellStart"/>
      <w:r w:rsidRPr="00A1540A">
        <w:rPr>
          <w:rFonts w:eastAsia="Calibri"/>
          <w:b w:val="0"/>
          <w:bCs w:val="0"/>
          <w:iCs w:val="0"/>
          <w:sz w:val="22"/>
          <w:szCs w:val="22"/>
        </w:rPr>
        <w:t>reductase</w:t>
      </w:r>
      <w:proofErr w:type="spellEnd"/>
    </w:p>
    <w:p w:rsidR="00A1540A" w:rsidRPr="00A1540A" w:rsidRDefault="00A1540A" w:rsidP="00822BCF">
      <w:pPr>
        <w:pStyle w:val="Heading2"/>
        <w:numPr>
          <w:ilvl w:val="0"/>
          <w:numId w:val="14"/>
        </w:numPr>
        <w:spacing w:before="0" w:after="0"/>
        <w:ind w:left="714" w:hanging="357"/>
        <w:rPr>
          <w:rFonts w:eastAsia="Calibri"/>
          <w:b w:val="0"/>
          <w:bCs w:val="0"/>
          <w:iCs w:val="0"/>
          <w:sz w:val="22"/>
          <w:szCs w:val="22"/>
        </w:rPr>
      </w:pPr>
      <w:r w:rsidRPr="00A1540A">
        <w:rPr>
          <w:rFonts w:eastAsia="Calibri"/>
          <w:b w:val="0"/>
          <w:bCs w:val="0"/>
          <w:iCs w:val="0"/>
          <w:sz w:val="22"/>
          <w:szCs w:val="22"/>
        </w:rPr>
        <w:t>Inhibits DNA polymerase</w:t>
      </w:r>
    </w:p>
    <w:p w:rsidR="00541CDD" w:rsidRDefault="00A1540A" w:rsidP="00822BCF">
      <w:pPr>
        <w:pStyle w:val="Heading2"/>
        <w:numPr>
          <w:ilvl w:val="0"/>
          <w:numId w:val="14"/>
        </w:numPr>
        <w:spacing w:before="0" w:after="120"/>
        <w:ind w:left="714" w:hanging="357"/>
        <w:rPr>
          <w:rFonts w:eastAsia="Calibri"/>
          <w:b w:val="0"/>
          <w:bCs w:val="0"/>
          <w:iCs w:val="0"/>
          <w:sz w:val="22"/>
          <w:szCs w:val="22"/>
        </w:rPr>
      </w:pPr>
      <w:r w:rsidRPr="00A1540A">
        <w:rPr>
          <w:rFonts w:eastAsia="Calibri"/>
          <w:b w:val="0"/>
          <w:bCs w:val="0"/>
          <w:iCs w:val="0"/>
          <w:sz w:val="22"/>
          <w:szCs w:val="22"/>
        </w:rPr>
        <w:t>Incorporates into DNA cause chain termination</w:t>
      </w:r>
    </w:p>
    <w:p w:rsidR="00541CDD" w:rsidRPr="00541CDD" w:rsidRDefault="00541CDD" w:rsidP="00541CDD">
      <w:r>
        <w:t xml:space="preserve">Gemcitabine is also licensed for advanced pancreatic cancer, advanced bladder cancer (with </w:t>
      </w:r>
      <w:proofErr w:type="spellStart"/>
      <w:r>
        <w:t>cisplatin</w:t>
      </w:r>
      <w:proofErr w:type="spellEnd"/>
      <w:r>
        <w:t>) and metastatic breast cancer (with paclitaxel)</w:t>
      </w:r>
      <w:r w:rsidR="00822BCF">
        <w:t>.</w:t>
      </w:r>
    </w:p>
    <w:p w:rsidR="0095504C" w:rsidRDefault="0095504C" w:rsidP="00397FCF">
      <w:pPr>
        <w:pStyle w:val="Heading3"/>
      </w:pPr>
      <w:r>
        <w:t>Advanced chemotherapy</w:t>
      </w:r>
    </w:p>
    <w:p w:rsidR="00397FCF" w:rsidRDefault="0095504C" w:rsidP="0095504C">
      <w:r>
        <w:t>For advanced or metastatic NSCLC a third-generation drug (</w:t>
      </w:r>
      <w:proofErr w:type="spellStart"/>
      <w:r w:rsidRPr="0095504C">
        <w:rPr>
          <w:b/>
        </w:rPr>
        <w:t>docetaxel</w:t>
      </w:r>
      <w:proofErr w:type="spellEnd"/>
      <w:r>
        <w:t xml:space="preserve">, </w:t>
      </w:r>
      <w:r w:rsidRPr="0095504C">
        <w:rPr>
          <w:b/>
        </w:rPr>
        <w:t>paclitaxel</w:t>
      </w:r>
      <w:r>
        <w:t xml:space="preserve">, </w:t>
      </w:r>
      <w:proofErr w:type="spellStart"/>
      <w:proofErr w:type="gramStart"/>
      <w:r w:rsidRPr="0095504C">
        <w:rPr>
          <w:b/>
        </w:rPr>
        <w:t>vinorelbine</w:t>
      </w:r>
      <w:proofErr w:type="spellEnd"/>
      <w:proofErr w:type="gramEnd"/>
      <w:r>
        <w:t>) is also re</w:t>
      </w:r>
      <w:r w:rsidR="007E1DAF">
        <w:t>commended in combination with platinum therapy</w:t>
      </w:r>
      <w:r>
        <w:t>.</w:t>
      </w:r>
      <w:r w:rsidRPr="0095504C">
        <w:t xml:space="preserve"> </w:t>
      </w:r>
    </w:p>
    <w:p w:rsidR="007E1DAF" w:rsidRPr="007E1DAF" w:rsidRDefault="007E1DAF" w:rsidP="007E1DAF">
      <w:pPr>
        <w:ind w:firstLine="720"/>
        <w:rPr>
          <w:b/>
        </w:rPr>
      </w:pPr>
      <w:r w:rsidRPr="007E1DAF">
        <w:rPr>
          <w:b/>
        </w:rPr>
        <w:t>Microtubule inhibitors</w:t>
      </w:r>
    </w:p>
    <w:p w:rsidR="00397FCF" w:rsidRDefault="0095504C" w:rsidP="0095504C">
      <w:proofErr w:type="spellStart"/>
      <w:r w:rsidRPr="00A3362E">
        <w:rPr>
          <w:b/>
        </w:rPr>
        <w:t>Docetaxel</w:t>
      </w:r>
      <w:proofErr w:type="spellEnd"/>
      <w:r w:rsidR="007E1DAF" w:rsidRPr="00A3362E">
        <w:rPr>
          <w:b/>
        </w:rPr>
        <w:t xml:space="preserve"> </w:t>
      </w:r>
      <w:r w:rsidR="007E1DAF">
        <w:t>(I-V)</w:t>
      </w:r>
      <w:r>
        <w:t xml:space="preserve"> &amp; </w:t>
      </w:r>
      <w:r w:rsidRPr="00A3362E">
        <w:rPr>
          <w:b/>
        </w:rPr>
        <w:t>paclitaxel</w:t>
      </w:r>
      <w:r>
        <w:t xml:space="preserve"> (I-V) are</w:t>
      </w:r>
      <w:r w:rsidRPr="0095504C">
        <w:t xml:space="preserve"> </w:t>
      </w:r>
      <w:proofErr w:type="spellStart"/>
      <w:r>
        <w:t>taxanes</w:t>
      </w:r>
      <w:proofErr w:type="spellEnd"/>
      <w:r>
        <w:t xml:space="preserve"> that</w:t>
      </w:r>
      <w:r w:rsidR="009A4CBE">
        <w:t xml:space="preserve"> bind to the </w:t>
      </w:r>
      <w:r w:rsidR="009A4CBE">
        <w:sym w:font="Symbol" w:char="F062"/>
      </w:r>
      <w:r w:rsidR="009A4CBE">
        <w:t xml:space="preserve"> subunit of tubulin</w:t>
      </w:r>
      <w:r w:rsidR="009F7A18">
        <w:t>, which</w:t>
      </w:r>
      <w:r w:rsidR="009A4CBE">
        <w:t xml:space="preserve"> </w:t>
      </w:r>
      <w:r w:rsidR="009F7A18">
        <w:t>form</w:t>
      </w:r>
      <w:r w:rsidR="009A4CBE">
        <w:t xml:space="preserve"> microtubules. They</w:t>
      </w:r>
      <w:r>
        <w:t xml:space="preserve"> </w:t>
      </w:r>
      <w:r w:rsidR="009A4CBE">
        <w:t>prevent microtubule disassembly thus inhibiting</w:t>
      </w:r>
      <w:r w:rsidR="009F7A18">
        <w:t xml:space="preserve"> important processes such as</w:t>
      </w:r>
      <w:r w:rsidR="009A4CBE">
        <w:t xml:space="preserve"> </w:t>
      </w:r>
      <w:proofErr w:type="spellStart"/>
      <w:r w:rsidR="009A4CBE">
        <w:t>treadmilling</w:t>
      </w:r>
      <w:proofErr w:type="spellEnd"/>
      <w:r w:rsidR="009A4CBE">
        <w:t xml:space="preserve"> and dynamic instability</w:t>
      </w:r>
      <w:r w:rsidRPr="0095504C">
        <w:t xml:space="preserve"> </w:t>
      </w:r>
    </w:p>
    <w:p w:rsidR="0095504C" w:rsidRDefault="0095504C" w:rsidP="0095504C">
      <w:proofErr w:type="spellStart"/>
      <w:r w:rsidRPr="00A3362E">
        <w:rPr>
          <w:b/>
        </w:rPr>
        <w:t>Vinorelbine</w:t>
      </w:r>
      <w:proofErr w:type="spellEnd"/>
      <w:r>
        <w:t xml:space="preserve"> (I-V) is a </w:t>
      </w:r>
      <w:proofErr w:type="spellStart"/>
      <w:r>
        <w:t>vinca</w:t>
      </w:r>
      <w:proofErr w:type="spellEnd"/>
      <w:r>
        <w:t xml:space="preserve"> alkaloid that</w:t>
      </w:r>
      <w:r w:rsidR="00A672AD">
        <w:t xml:space="preserve"> also binds to tubulin within microtubules but has a different binding site and mechanism of action to the </w:t>
      </w:r>
      <w:proofErr w:type="spellStart"/>
      <w:r w:rsidR="00A672AD">
        <w:t>taxanes</w:t>
      </w:r>
      <w:proofErr w:type="spellEnd"/>
      <w:r w:rsidR="00A672AD">
        <w:t xml:space="preserve">. It binds at the inter-dimer interface between </w:t>
      </w:r>
      <w:proofErr w:type="gramStart"/>
      <w:r w:rsidR="00A672AD">
        <w:t xml:space="preserve">the </w:t>
      </w:r>
      <w:r w:rsidR="00A672AD">
        <w:sym w:font="Symbol" w:char="F061"/>
      </w:r>
      <w:r w:rsidR="00A672AD">
        <w:t xml:space="preserve"> and</w:t>
      </w:r>
      <w:proofErr w:type="gramEnd"/>
      <w:r w:rsidR="00A672AD">
        <w:t xml:space="preserve"> </w:t>
      </w:r>
      <w:r w:rsidR="00A672AD">
        <w:sym w:font="Symbol" w:char="F062"/>
      </w:r>
      <w:r>
        <w:t xml:space="preserve"> </w:t>
      </w:r>
      <w:r w:rsidR="00A672AD">
        <w:t xml:space="preserve">tubulin subunits and </w:t>
      </w:r>
      <w:r>
        <w:t>inhibits microtubule assembly</w:t>
      </w:r>
      <w:r w:rsidR="00A672AD">
        <w:t xml:space="preserve"> rather than disassembly.</w:t>
      </w:r>
    </w:p>
    <w:p w:rsidR="0095504C" w:rsidRPr="0095504C" w:rsidRDefault="00D6270A" w:rsidP="0095504C">
      <w:proofErr w:type="spellStart"/>
      <w:r>
        <w:rPr>
          <w:b/>
        </w:rPr>
        <w:t>E</w:t>
      </w:r>
      <w:r w:rsidRPr="0095504C">
        <w:rPr>
          <w:b/>
        </w:rPr>
        <w:t>rlotinib</w:t>
      </w:r>
      <w:proofErr w:type="spellEnd"/>
      <w:r>
        <w:t xml:space="preserve"> &amp; </w:t>
      </w:r>
      <w:proofErr w:type="spellStart"/>
      <w:r w:rsidRPr="0095504C">
        <w:rPr>
          <w:b/>
        </w:rPr>
        <w:t>gefitinib</w:t>
      </w:r>
      <w:proofErr w:type="spellEnd"/>
      <w:r>
        <w:t xml:space="preserve"> are also recommended f</w:t>
      </w:r>
      <w:r w:rsidR="0095504C">
        <w:t xml:space="preserve">or patients with </w:t>
      </w:r>
      <w:r>
        <w:t xml:space="preserve">the </w:t>
      </w:r>
      <w:r w:rsidR="0095504C">
        <w:t>EGFR mutation</w:t>
      </w:r>
      <w:r>
        <w:t xml:space="preserve"> in NSCLC</w:t>
      </w:r>
      <w:r w:rsidR="0095504C">
        <w:t>. These are selective inhibitors of the EGFR tyrosine kinase.</w:t>
      </w:r>
      <w:r w:rsidR="007E1DAF">
        <w:t xml:space="preserve"> </w:t>
      </w:r>
      <w:proofErr w:type="spellStart"/>
      <w:r w:rsidR="007E1DAF">
        <w:t>Erlotinib</w:t>
      </w:r>
      <w:proofErr w:type="spellEnd"/>
      <w:r w:rsidR="007E1DAF">
        <w:t xml:space="preserve"> is also licensed </w:t>
      </w:r>
      <w:r>
        <w:t>as combination treatment for</w:t>
      </w:r>
      <w:r w:rsidR="007E1DAF">
        <w:t xml:space="preserve"> metastatic colorectal cancer</w:t>
      </w:r>
      <w:r>
        <w:t xml:space="preserve">.  </w:t>
      </w:r>
    </w:p>
    <w:p w:rsidR="00A1540A" w:rsidRDefault="00A1540A">
      <w:pPr>
        <w:spacing w:after="0" w:line="240" w:lineRule="auto"/>
        <w:jc w:val="left"/>
        <w:rPr>
          <w:rFonts w:cs="Arial"/>
          <w:i/>
        </w:rPr>
      </w:pPr>
      <w:r>
        <w:rPr>
          <w:b/>
          <w:bCs/>
          <w:i/>
          <w:iCs/>
        </w:rPr>
        <w:br w:type="page"/>
      </w:r>
    </w:p>
    <w:p w:rsidR="004F7314" w:rsidRPr="00F63039" w:rsidRDefault="002A3D13" w:rsidP="00A1540A">
      <w:pPr>
        <w:pStyle w:val="Heading2"/>
      </w:pPr>
      <w:r>
        <w:lastRenderedPageBreak/>
        <w:t>Breast cancer</w:t>
      </w:r>
    </w:p>
    <w:p w:rsidR="002A3D13" w:rsidRPr="006E4F7E" w:rsidRDefault="002A3D13" w:rsidP="002A3D13">
      <w:pPr>
        <w:pStyle w:val="Heading3"/>
      </w:pPr>
      <w:r>
        <w:t>Background &amp; disease staging</w:t>
      </w:r>
    </w:p>
    <w:p w:rsidR="0095504C" w:rsidRPr="0095504C" w:rsidRDefault="00A3362E" w:rsidP="0095504C">
      <w:pPr>
        <w:spacing w:after="120"/>
        <w:rPr>
          <w:rFonts w:cs="Arial"/>
        </w:rPr>
      </w:pPr>
      <w:r>
        <w:rPr>
          <w:rFonts w:cs="Arial"/>
        </w:rPr>
        <w:t>The main symptom of breast cancer is a lump within the mammary gland (although approximately</w:t>
      </w:r>
      <w:r w:rsidR="0095504C" w:rsidRPr="0095504C">
        <w:rPr>
          <w:rFonts w:cs="Arial"/>
        </w:rPr>
        <w:t xml:space="preserve"> 90% of lumps within breasts are not cancerous</w:t>
      </w:r>
      <w:r>
        <w:rPr>
          <w:rFonts w:cs="Arial"/>
        </w:rPr>
        <w:t>) but other</w:t>
      </w:r>
      <w:r w:rsidR="0095504C">
        <w:rPr>
          <w:rFonts w:cs="Arial"/>
        </w:rPr>
        <w:t xml:space="preserve"> </w:t>
      </w:r>
      <w:proofErr w:type="spellStart"/>
      <w:r w:rsidR="0095504C">
        <w:rPr>
          <w:rFonts w:cs="Arial"/>
        </w:rPr>
        <w:t>o</w:t>
      </w:r>
      <w:r w:rsidR="0095504C" w:rsidRPr="0095504C">
        <w:rPr>
          <w:rFonts w:cs="Arial"/>
        </w:rPr>
        <w:t>ther</w:t>
      </w:r>
      <w:proofErr w:type="spellEnd"/>
      <w:r w:rsidR="0095504C" w:rsidRPr="0095504C">
        <w:rPr>
          <w:rFonts w:cs="Arial"/>
        </w:rPr>
        <w:t xml:space="preserve"> common symptoms include breast/ nip</w:t>
      </w:r>
      <w:r w:rsidR="0095504C">
        <w:rPr>
          <w:rFonts w:cs="Arial"/>
        </w:rPr>
        <w:t>ple shape change, skin dimpling and</w:t>
      </w:r>
      <w:r w:rsidR="0095504C" w:rsidRPr="0095504C">
        <w:rPr>
          <w:rFonts w:cs="Arial"/>
        </w:rPr>
        <w:t xml:space="preserve"> discharge</w:t>
      </w:r>
      <w:r w:rsidR="0095504C">
        <w:rPr>
          <w:rFonts w:cs="Arial"/>
        </w:rPr>
        <w:t>.</w:t>
      </w:r>
    </w:p>
    <w:p w:rsidR="0095504C" w:rsidRPr="0095504C" w:rsidRDefault="0095504C" w:rsidP="0095504C">
      <w:pPr>
        <w:spacing w:after="120"/>
        <w:rPr>
          <w:rFonts w:cs="Arial"/>
        </w:rPr>
      </w:pPr>
      <w:r w:rsidRPr="0095504C">
        <w:rPr>
          <w:rFonts w:cs="Arial"/>
        </w:rPr>
        <w:t>There are four main types of breast cancer:</w:t>
      </w:r>
    </w:p>
    <w:p w:rsidR="0095504C" w:rsidRPr="0095504C" w:rsidRDefault="0095504C" w:rsidP="00822BCF">
      <w:pPr>
        <w:pStyle w:val="ListParagraph"/>
        <w:numPr>
          <w:ilvl w:val="0"/>
          <w:numId w:val="15"/>
        </w:numPr>
        <w:spacing w:after="0"/>
        <w:ind w:left="714" w:hanging="357"/>
        <w:rPr>
          <w:rFonts w:cs="Arial"/>
        </w:rPr>
      </w:pPr>
      <w:r w:rsidRPr="0095504C">
        <w:rPr>
          <w:rFonts w:cs="Arial"/>
        </w:rPr>
        <w:t>Luminal A</w:t>
      </w:r>
      <w:r w:rsidR="001B13FF">
        <w:rPr>
          <w:rFonts w:cs="Arial"/>
        </w:rPr>
        <w:t>, B &amp; C</w:t>
      </w:r>
    </w:p>
    <w:p w:rsidR="0095504C" w:rsidRPr="0095504C" w:rsidRDefault="001B13FF" w:rsidP="00822BCF">
      <w:pPr>
        <w:pStyle w:val="ListParagraph"/>
        <w:numPr>
          <w:ilvl w:val="0"/>
          <w:numId w:val="15"/>
        </w:numPr>
        <w:spacing w:after="0"/>
        <w:ind w:left="714" w:hanging="357"/>
        <w:rPr>
          <w:rFonts w:cs="Arial"/>
        </w:rPr>
      </w:pPr>
      <w:r>
        <w:rPr>
          <w:rFonts w:cs="Arial"/>
        </w:rPr>
        <w:t>Normal</w:t>
      </w:r>
    </w:p>
    <w:p w:rsidR="0095504C" w:rsidRPr="0095504C" w:rsidRDefault="0095504C" w:rsidP="00822BCF">
      <w:pPr>
        <w:pStyle w:val="ListParagraph"/>
        <w:numPr>
          <w:ilvl w:val="0"/>
          <w:numId w:val="15"/>
        </w:numPr>
        <w:spacing w:after="0"/>
        <w:ind w:left="714" w:hanging="357"/>
        <w:rPr>
          <w:rFonts w:cs="Arial"/>
        </w:rPr>
      </w:pPr>
      <w:r w:rsidRPr="0095504C">
        <w:rPr>
          <w:rFonts w:cs="Arial"/>
        </w:rPr>
        <w:t>Basal-like</w:t>
      </w:r>
    </w:p>
    <w:p w:rsidR="0095504C" w:rsidRPr="0095504C" w:rsidRDefault="0095504C" w:rsidP="00822BCF">
      <w:pPr>
        <w:pStyle w:val="ListParagraph"/>
        <w:numPr>
          <w:ilvl w:val="0"/>
          <w:numId w:val="15"/>
        </w:numPr>
        <w:spacing w:after="120"/>
        <w:ind w:left="714" w:hanging="357"/>
        <w:rPr>
          <w:rFonts w:cs="Arial"/>
        </w:rPr>
      </w:pPr>
      <w:r w:rsidRPr="0095504C">
        <w:rPr>
          <w:rFonts w:cs="Arial"/>
        </w:rPr>
        <w:t>HER-2 enriched</w:t>
      </w:r>
    </w:p>
    <w:p w:rsidR="0095504C" w:rsidRPr="0095504C" w:rsidRDefault="0095504C" w:rsidP="0095504C">
      <w:pPr>
        <w:rPr>
          <w:rFonts w:cs="Arial"/>
        </w:rPr>
      </w:pPr>
      <w:r w:rsidRPr="0095504C">
        <w:rPr>
          <w:rFonts w:cs="Arial"/>
        </w:rPr>
        <w:t>Age,</w:t>
      </w:r>
      <w:r w:rsidR="00A3362E">
        <w:rPr>
          <w:rFonts w:cs="Arial"/>
        </w:rPr>
        <w:t xml:space="preserve"> weight, </w:t>
      </w:r>
      <w:r w:rsidRPr="0095504C">
        <w:rPr>
          <w:rFonts w:cs="Arial"/>
        </w:rPr>
        <w:t>breast tissue density, alcohol</w:t>
      </w:r>
      <w:r w:rsidR="00A3362E">
        <w:rPr>
          <w:rFonts w:cs="Arial"/>
        </w:rPr>
        <w:t xml:space="preserve"> consumption</w:t>
      </w:r>
      <w:r w:rsidRPr="0095504C">
        <w:rPr>
          <w:rFonts w:cs="Arial"/>
        </w:rPr>
        <w:t xml:space="preserve"> &amp; exposure to oestrogen are all risk factors</w:t>
      </w:r>
      <w:r w:rsidR="00A3362E">
        <w:rPr>
          <w:rFonts w:cs="Arial"/>
        </w:rPr>
        <w:t xml:space="preserve"> for developing breast cancer. Whilst n</w:t>
      </w:r>
      <w:r w:rsidRPr="0095504C">
        <w:rPr>
          <w:rFonts w:cs="Arial"/>
        </w:rPr>
        <w:t>umero</w:t>
      </w:r>
      <w:bookmarkStart w:id="0" w:name="_GoBack"/>
      <w:bookmarkEnd w:id="0"/>
      <w:r w:rsidRPr="0095504C">
        <w:rPr>
          <w:rFonts w:cs="Arial"/>
        </w:rPr>
        <w:t>us gene mutations are also implicated</w:t>
      </w:r>
      <w:r w:rsidR="00A3362E">
        <w:rPr>
          <w:rFonts w:cs="Arial"/>
        </w:rPr>
        <w:t>,</w:t>
      </w:r>
      <w:r w:rsidRPr="0095504C">
        <w:rPr>
          <w:rFonts w:cs="Arial"/>
        </w:rPr>
        <w:t xml:space="preserve"> especially BRCA1, BRCA2 &amp; TP53 </w:t>
      </w:r>
    </w:p>
    <w:p w:rsidR="0095504C" w:rsidRDefault="0095504C" w:rsidP="0095504C">
      <w:pPr>
        <w:rPr>
          <w:rFonts w:cs="Arial"/>
        </w:rPr>
      </w:pPr>
      <w:r w:rsidRPr="0095504C">
        <w:rPr>
          <w:rFonts w:cs="Arial"/>
        </w:rPr>
        <w:t>Non-pharmacological treatment</w:t>
      </w:r>
      <w:r>
        <w:rPr>
          <w:rFonts w:cs="Arial"/>
        </w:rPr>
        <w:t xml:space="preserve"> involves a l</w:t>
      </w:r>
      <w:r w:rsidRPr="0095504C">
        <w:rPr>
          <w:rFonts w:cs="Arial"/>
        </w:rPr>
        <w:t>umpectomy in combination with radiotherapy or a mastectomy and surgical reconstruction</w:t>
      </w:r>
      <w:r>
        <w:rPr>
          <w:rFonts w:cs="Arial"/>
        </w:rPr>
        <w:t>.</w:t>
      </w:r>
    </w:p>
    <w:p w:rsidR="009618A0" w:rsidRPr="009618A0" w:rsidRDefault="009618A0" w:rsidP="0095504C">
      <w:pPr>
        <w:rPr>
          <w:rFonts w:cs="Arial"/>
          <w:b/>
        </w:rPr>
      </w:pPr>
      <w:r w:rsidRPr="009618A0">
        <w:rPr>
          <w:rFonts w:cs="Arial"/>
          <w:b/>
        </w:rPr>
        <w:t>Table 3: staging for breast cancer</w:t>
      </w:r>
    </w:p>
    <w:tbl>
      <w:tblPr>
        <w:tblW w:w="708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39"/>
        <w:gridCol w:w="4715"/>
        <w:gridCol w:w="1134"/>
      </w:tblGrid>
      <w:tr w:rsidR="00071588" w:rsidRPr="001F7925" w:rsidTr="009618A0">
        <w:trPr>
          <w:trHeight w:val="429"/>
        </w:trPr>
        <w:tc>
          <w:tcPr>
            <w:tcW w:w="1239" w:type="dxa"/>
            <w:shd w:val="clear" w:color="auto" w:fill="BFBFBF"/>
            <w:tcMar>
              <w:top w:w="72" w:type="dxa"/>
              <w:left w:w="144" w:type="dxa"/>
              <w:bottom w:w="72" w:type="dxa"/>
              <w:right w:w="144" w:type="dxa"/>
            </w:tcMar>
            <w:vAlign w:val="center"/>
            <w:hideMark/>
          </w:tcPr>
          <w:p w:rsidR="00071588" w:rsidRPr="001F7925" w:rsidRDefault="00071588" w:rsidP="009618A0">
            <w:pPr>
              <w:spacing w:after="0"/>
              <w:jc w:val="center"/>
              <w:rPr>
                <w:b/>
              </w:rPr>
            </w:pPr>
            <w:r>
              <w:rPr>
                <w:b/>
              </w:rPr>
              <w:t>S</w:t>
            </w:r>
            <w:r w:rsidRPr="001F7925">
              <w:rPr>
                <w:b/>
              </w:rPr>
              <w:t>tage</w:t>
            </w:r>
          </w:p>
        </w:tc>
        <w:tc>
          <w:tcPr>
            <w:tcW w:w="4715" w:type="dxa"/>
            <w:shd w:val="clear" w:color="auto" w:fill="BFBFBF"/>
            <w:tcMar>
              <w:top w:w="72" w:type="dxa"/>
              <w:left w:w="144" w:type="dxa"/>
              <w:bottom w:w="72" w:type="dxa"/>
              <w:right w:w="144" w:type="dxa"/>
            </w:tcMar>
            <w:vAlign w:val="center"/>
            <w:hideMark/>
          </w:tcPr>
          <w:p w:rsidR="00071588" w:rsidRPr="001F7925" w:rsidRDefault="00071588" w:rsidP="009618A0">
            <w:pPr>
              <w:spacing w:after="0"/>
              <w:jc w:val="center"/>
              <w:rPr>
                <w:b/>
              </w:rPr>
            </w:pPr>
            <w:r w:rsidRPr="001F7925">
              <w:rPr>
                <w:b/>
              </w:rPr>
              <w:t>Definition</w:t>
            </w:r>
          </w:p>
        </w:tc>
        <w:tc>
          <w:tcPr>
            <w:tcW w:w="1134" w:type="dxa"/>
            <w:shd w:val="clear" w:color="auto" w:fill="BFBFBF"/>
            <w:tcMar>
              <w:top w:w="72" w:type="dxa"/>
              <w:left w:w="144" w:type="dxa"/>
              <w:bottom w:w="72" w:type="dxa"/>
              <w:right w:w="144" w:type="dxa"/>
            </w:tcMar>
            <w:vAlign w:val="center"/>
            <w:hideMark/>
          </w:tcPr>
          <w:p w:rsidR="00071588" w:rsidRPr="001F7925" w:rsidRDefault="00071588" w:rsidP="009618A0">
            <w:pPr>
              <w:spacing w:after="0"/>
              <w:jc w:val="center"/>
              <w:rPr>
                <w:b/>
              </w:rPr>
            </w:pPr>
            <w:r>
              <w:rPr>
                <w:b/>
              </w:rPr>
              <w:t>5 year survival</w:t>
            </w:r>
          </w:p>
        </w:tc>
      </w:tr>
      <w:tr w:rsidR="00071588" w:rsidRPr="001F7925" w:rsidTr="00E45FDF">
        <w:trPr>
          <w:trHeight w:val="18"/>
        </w:trPr>
        <w:tc>
          <w:tcPr>
            <w:tcW w:w="1239"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center"/>
              <w:rPr>
                <w:b/>
                <w:sz w:val="20"/>
                <w:szCs w:val="20"/>
              </w:rPr>
            </w:pPr>
            <w:r>
              <w:rPr>
                <w:b/>
                <w:sz w:val="20"/>
                <w:szCs w:val="20"/>
              </w:rPr>
              <w:t>1</w:t>
            </w:r>
          </w:p>
        </w:tc>
        <w:tc>
          <w:tcPr>
            <w:tcW w:w="4715"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left"/>
              <w:rPr>
                <w:sz w:val="20"/>
                <w:szCs w:val="20"/>
              </w:rPr>
            </w:pPr>
            <w:r w:rsidRPr="00071588">
              <w:rPr>
                <w:sz w:val="20"/>
                <w:szCs w:val="20"/>
              </w:rPr>
              <w:t>&lt; 2cm diameter and found within  breast or nearby lymph nodes</w:t>
            </w:r>
          </w:p>
        </w:tc>
        <w:tc>
          <w:tcPr>
            <w:tcW w:w="1134" w:type="dxa"/>
            <w:shd w:val="clear" w:color="auto" w:fill="auto"/>
            <w:tcMar>
              <w:top w:w="72" w:type="dxa"/>
              <w:left w:w="144" w:type="dxa"/>
              <w:bottom w:w="72" w:type="dxa"/>
              <w:right w:w="144" w:type="dxa"/>
            </w:tcMar>
            <w:vAlign w:val="center"/>
            <w:hideMark/>
          </w:tcPr>
          <w:p w:rsidR="00071588" w:rsidRPr="001F7925" w:rsidRDefault="009618A0" w:rsidP="00E45FDF">
            <w:pPr>
              <w:spacing w:after="0"/>
              <w:jc w:val="left"/>
              <w:rPr>
                <w:sz w:val="20"/>
                <w:szCs w:val="20"/>
              </w:rPr>
            </w:pPr>
            <w:r w:rsidRPr="009618A0">
              <w:rPr>
                <w:sz w:val="20"/>
                <w:szCs w:val="20"/>
              </w:rPr>
              <w:t>90%</w:t>
            </w:r>
          </w:p>
        </w:tc>
      </w:tr>
      <w:tr w:rsidR="00071588" w:rsidRPr="001F7925" w:rsidTr="00E45FDF">
        <w:trPr>
          <w:trHeight w:val="139"/>
        </w:trPr>
        <w:tc>
          <w:tcPr>
            <w:tcW w:w="1239"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center"/>
              <w:rPr>
                <w:b/>
                <w:sz w:val="20"/>
                <w:szCs w:val="20"/>
              </w:rPr>
            </w:pPr>
            <w:r>
              <w:rPr>
                <w:b/>
                <w:sz w:val="20"/>
                <w:szCs w:val="20"/>
              </w:rPr>
              <w:t>2</w:t>
            </w:r>
          </w:p>
        </w:tc>
        <w:tc>
          <w:tcPr>
            <w:tcW w:w="4715"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left"/>
              <w:rPr>
                <w:sz w:val="20"/>
                <w:szCs w:val="20"/>
              </w:rPr>
            </w:pPr>
            <w:r w:rsidRPr="00071588">
              <w:rPr>
                <w:sz w:val="20"/>
                <w:szCs w:val="20"/>
              </w:rPr>
              <w:t>2-5 cm  diameter and found within  breast or 1-3 lymph nodes</w:t>
            </w:r>
          </w:p>
        </w:tc>
        <w:tc>
          <w:tcPr>
            <w:tcW w:w="1134" w:type="dxa"/>
            <w:shd w:val="clear" w:color="auto" w:fill="auto"/>
            <w:tcMar>
              <w:top w:w="72" w:type="dxa"/>
              <w:left w:w="144" w:type="dxa"/>
              <w:bottom w:w="72" w:type="dxa"/>
              <w:right w:w="144" w:type="dxa"/>
            </w:tcMar>
            <w:vAlign w:val="center"/>
            <w:hideMark/>
          </w:tcPr>
          <w:p w:rsidR="00071588" w:rsidRPr="001F7925" w:rsidRDefault="009618A0" w:rsidP="00E45FDF">
            <w:pPr>
              <w:spacing w:after="0"/>
              <w:jc w:val="left"/>
              <w:rPr>
                <w:sz w:val="20"/>
                <w:szCs w:val="20"/>
              </w:rPr>
            </w:pPr>
            <w:r>
              <w:rPr>
                <w:sz w:val="20"/>
                <w:szCs w:val="20"/>
              </w:rPr>
              <w:t>70</w:t>
            </w:r>
            <w:r w:rsidR="00071588" w:rsidRPr="00071588">
              <w:rPr>
                <w:sz w:val="20"/>
                <w:szCs w:val="20"/>
              </w:rPr>
              <w:t>%</w:t>
            </w:r>
          </w:p>
        </w:tc>
      </w:tr>
      <w:tr w:rsidR="00071588" w:rsidRPr="001F7925" w:rsidTr="00E45FDF">
        <w:trPr>
          <w:trHeight w:val="18"/>
        </w:trPr>
        <w:tc>
          <w:tcPr>
            <w:tcW w:w="1239"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center"/>
              <w:rPr>
                <w:b/>
                <w:sz w:val="20"/>
                <w:szCs w:val="20"/>
              </w:rPr>
            </w:pPr>
            <w:r>
              <w:rPr>
                <w:b/>
                <w:sz w:val="20"/>
                <w:szCs w:val="20"/>
              </w:rPr>
              <w:t>3</w:t>
            </w:r>
          </w:p>
        </w:tc>
        <w:tc>
          <w:tcPr>
            <w:tcW w:w="4715"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left"/>
              <w:rPr>
                <w:sz w:val="20"/>
                <w:szCs w:val="20"/>
              </w:rPr>
            </w:pPr>
            <w:r w:rsidRPr="00071588">
              <w:rPr>
                <w:sz w:val="20"/>
                <w:szCs w:val="20"/>
              </w:rPr>
              <w:t>&gt; 5 cm  diameter and found within  breast or 4-9 lymph nodes</w:t>
            </w:r>
          </w:p>
        </w:tc>
        <w:tc>
          <w:tcPr>
            <w:tcW w:w="1134" w:type="dxa"/>
            <w:shd w:val="clear" w:color="auto" w:fill="auto"/>
            <w:tcMar>
              <w:top w:w="72" w:type="dxa"/>
              <w:left w:w="144" w:type="dxa"/>
              <w:bottom w:w="72" w:type="dxa"/>
              <w:right w:w="144" w:type="dxa"/>
            </w:tcMar>
            <w:vAlign w:val="center"/>
            <w:hideMark/>
          </w:tcPr>
          <w:p w:rsidR="00071588" w:rsidRPr="001F7925" w:rsidRDefault="009618A0" w:rsidP="00E45FDF">
            <w:pPr>
              <w:spacing w:after="0"/>
              <w:jc w:val="left"/>
              <w:rPr>
                <w:sz w:val="20"/>
                <w:szCs w:val="20"/>
              </w:rPr>
            </w:pPr>
            <w:r>
              <w:rPr>
                <w:sz w:val="20"/>
                <w:szCs w:val="20"/>
              </w:rPr>
              <w:t>50</w:t>
            </w:r>
            <w:r w:rsidR="00071588" w:rsidRPr="00071588">
              <w:rPr>
                <w:sz w:val="20"/>
                <w:szCs w:val="20"/>
              </w:rPr>
              <w:t>%</w:t>
            </w:r>
          </w:p>
        </w:tc>
      </w:tr>
      <w:tr w:rsidR="00071588" w:rsidRPr="001F7925" w:rsidTr="00E45FDF">
        <w:trPr>
          <w:trHeight w:val="18"/>
        </w:trPr>
        <w:tc>
          <w:tcPr>
            <w:tcW w:w="1239"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center"/>
              <w:rPr>
                <w:b/>
                <w:sz w:val="20"/>
                <w:szCs w:val="20"/>
              </w:rPr>
            </w:pPr>
            <w:r>
              <w:rPr>
                <w:b/>
                <w:sz w:val="20"/>
                <w:szCs w:val="20"/>
              </w:rPr>
              <w:t>4</w:t>
            </w:r>
          </w:p>
        </w:tc>
        <w:tc>
          <w:tcPr>
            <w:tcW w:w="4715" w:type="dxa"/>
            <w:shd w:val="clear" w:color="auto" w:fill="auto"/>
            <w:tcMar>
              <w:top w:w="72" w:type="dxa"/>
              <w:left w:w="144" w:type="dxa"/>
              <w:bottom w:w="72" w:type="dxa"/>
              <w:right w:w="144" w:type="dxa"/>
            </w:tcMar>
            <w:vAlign w:val="center"/>
            <w:hideMark/>
          </w:tcPr>
          <w:p w:rsidR="00071588" w:rsidRPr="001F7925" w:rsidRDefault="009618A0" w:rsidP="00E45FDF">
            <w:pPr>
              <w:spacing w:after="0"/>
              <w:jc w:val="left"/>
              <w:rPr>
                <w:sz w:val="20"/>
                <w:szCs w:val="20"/>
              </w:rPr>
            </w:pPr>
            <w:r w:rsidRPr="009618A0">
              <w:rPr>
                <w:sz w:val="20"/>
                <w:szCs w:val="20"/>
              </w:rPr>
              <w:t>Has metastasised to other regions</w:t>
            </w:r>
          </w:p>
        </w:tc>
        <w:tc>
          <w:tcPr>
            <w:tcW w:w="1134" w:type="dxa"/>
            <w:shd w:val="clear" w:color="auto" w:fill="auto"/>
            <w:tcMar>
              <w:top w:w="72" w:type="dxa"/>
              <w:left w:w="144" w:type="dxa"/>
              <w:bottom w:w="72" w:type="dxa"/>
              <w:right w:w="144" w:type="dxa"/>
            </w:tcMar>
            <w:vAlign w:val="center"/>
            <w:hideMark/>
          </w:tcPr>
          <w:p w:rsidR="00071588" w:rsidRPr="001F7925" w:rsidRDefault="00071588" w:rsidP="00E45FDF">
            <w:pPr>
              <w:spacing w:after="0"/>
              <w:jc w:val="left"/>
              <w:rPr>
                <w:sz w:val="20"/>
                <w:szCs w:val="20"/>
              </w:rPr>
            </w:pPr>
            <w:r w:rsidRPr="00071588">
              <w:rPr>
                <w:sz w:val="20"/>
                <w:szCs w:val="20"/>
              </w:rPr>
              <w:t>13%</w:t>
            </w:r>
          </w:p>
        </w:tc>
      </w:tr>
    </w:tbl>
    <w:p w:rsidR="00071588" w:rsidRDefault="00071588" w:rsidP="0095504C">
      <w:pPr>
        <w:rPr>
          <w:rFonts w:cs="Arial"/>
        </w:rPr>
      </w:pPr>
    </w:p>
    <w:p w:rsidR="003D0059" w:rsidRPr="003D0059" w:rsidRDefault="003D0059" w:rsidP="005E482B">
      <w:pPr>
        <w:spacing w:after="120"/>
        <w:rPr>
          <w:i/>
        </w:rPr>
      </w:pPr>
      <w:r w:rsidRPr="003D0059">
        <w:rPr>
          <w:i/>
        </w:rPr>
        <w:t>Adjuvant chemotherapy</w:t>
      </w:r>
    </w:p>
    <w:p w:rsidR="00FB3AF9" w:rsidRDefault="003D0059" w:rsidP="005E482B">
      <w:pPr>
        <w:spacing w:after="120"/>
      </w:pPr>
      <w:r>
        <w:t xml:space="preserve">Hormone therapy (e.g. Aromatase inhibitors, </w:t>
      </w:r>
      <w:proofErr w:type="spellStart"/>
      <w:r>
        <w:t>tamoxifen</w:t>
      </w:r>
      <w:proofErr w:type="spellEnd"/>
      <w:r>
        <w:t xml:space="preserve">) can be given before or after surgery for </w:t>
      </w:r>
      <w:proofErr w:type="spellStart"/>
      <w:r>
        <w:t>eostrogen</w:t>
      </w:r>
      <w:proofErr w:type="spellEnd"/>
      <w:r>
        <w:t xml:space="preserve"> receptor positive tumours and the TAC regimen (</w:t>
      </w:r>
      <w:proofErr w:type="spellStart"/>
      <w:r w:rsidRPr="003D0059">
        <w:t>docetaxel</w:t>
      </w:r>
      <w:proofErr w:type="spellEnd"/>
      <w:r>
        <w:t xml:space="preserve">, </w:t>
      </w:r>
      <w:r w:rsidRPr="003D0059">
        <w:rPr>
          <w:b/>
        </w:rPr>
        <w:t>doxorubicin</w:t>
      </w:r>
      <w:r>
        <w:t xml:space="preserve"> &amp; </w:t>
      </w:r>
      <w:r w:rsidRPr="003D0059">
        <w:rPr>
          <w:b/>
        </w:rPr>
        <w:t>cyclophosphamide</w:t>
      </w:r>
      <w:r>
        <w:t>) is recommended for early node-positive breast cancer.</w:t>
      </w:r>
      <w:r w:rsidRPr="003D0059">
        <w:t xml:space="preserve"> </w:t>
      </w:r>
      <w:r>
        <w:t xml:space="preserve">Cyclophosphamide (I-V) is </w:t>
      </w:r>
      <w:proofErr w:type="gramStart"/>
      <w:r>
        <w:t>a nitrogen</w:t>
      </w:r>
      <w:proofErr w:type="gramEnd"/>
      <w:r>
        <w:t xml:space="preserve"> mustard that acts as an </w:t>
      </w:r>
      <w:r w:rsidRPr="009E0212">
        <w:rPr>
          <w:b/>
        </w:rPr>
        <w:t>alkylating agent</w:t>
      </w:r>
      <w:r w:rsidR="009E0212">
        <w:t>.</w:t>
      </w:r>
    </w:p>
    <w:p w:rsidR="00FB3AF9" w:rsidRPr="00FB3AF9" w:rsidRDefault="00FB3AF9" w:rsidP="005E482B">
      <w:pPr>
        <w:spacing w:after="120"/>
        <w:ind w:firstLine="720"/>
        <w:rPr>
          <w:b/>
        </w:rPr>
      </w:pPr>
      <w:r w:rsidRPr="00FB3AF9">
        <w:rPr>
          <w:b/>
        </w:rPr>
        <w:t>Alkylating agents</w:t>
      </w:r>
      <w:r>
        <w:rPr>
          <w:b/>
        </w:rPr>
        <w:t>- Nitrogen mustards</w:t>
      </w:r>
    </w:p>
    <w:p w:rsidR="009E0212" w:rsidRDefault="009E0212" w:rsidP="005E482B">
      <w:pPr>
        <w:spacing w:after="120"/>
      </w:pPr>
      <w:r>
        <w:t xml:space="preserve">The alkylating agents have electrophilic alkyl groups that form covalent bonds with </w:t>
      </w:r>
      <w:proofErr w:type="spellStart"/>
      <w:r>
        <w:t>nucleophilic</w:t>
      </w:r>
      <w:proofErr w:type="spellEnd"/>
      <w:r>
        <w:t xml:space="preserve"> cellular sites. The active alkylating species from cyclophosphamide (</w:t>
      </w:r>
      <w:proofErr w:type="spellStart"/>
      <w:r w:rsidR="003D0059">
        <w:t>phosphoramide</w:t>
      </w:r>
      <w:proofErr w:type="spellEnd"/>
      <w:r w:rsidR="003D0059">
        <w:t xml:space="preserve"> mustard and </w:t>
      </w:r>
      <w:proofErr w:type="spellStart"/>
      <w:r w:rsidR="003D0059">
        <w:t>acrolein</w:t>
      </w:r>
      <w:proofErr w:type="spellEnd"/>
      <w:r>
        <w:t xml:space="preserve">) preferentially bind to the </w:t>
      </w:r>
      <w:proofErr w:type="spellStart"/>
      <w:r>
        <w:t>oxygens</w:t>
      </w:r>
      <w:proofErr w:type="spellEnd"/>
      <w:r>
        <w:t xml:space="preserve"> present in phosphate groups of RNA and DNA and the </w:t>
      </w:r>
      <w:proofErr w:type="spellStart"/>
      <w:r>
        <w:t>oxygens</w:t>
      </w:r>
      <w:proofErr w:type="spellEnd"/>
      <w:r>
        <w:t xml:space="preserve"> of purines and </w:t>
      </w:r>
      <w:proofErr w:type="spellStart"/>
      <w:r>
        <w:t>pyrimidines</w:t>
      </w:r>
      <w:proofErr w:type="spellEnd"/>
      <w:r>
        <w:t>. Although these agents react with cells in all phases of the cell cycle</w:t>
      </w:r>
      <w:r w:rsidR="004B24B4">
        <w:t xml:space="preserve"> they are more efficacious in rapidly proliferating cells. These drugs are associated with severe nausea, bone marrow toxicity and alopecia.</w:t>
      </w:r>
      <w:r>
        <w:t xml:space="preserve"> </w:t>
      </w:r>
    </w:p>
    <w:p w:rsidR="00FB3AF9" w:rsidRPr="00FB3AF9" w:rsidRDefault="00FB3AF9" w:rsidP="005E482B">
      <w:pPr>
        <w:spacing w:after="120"/>
        <w:ind w:firstLine="720"/>
        <w:rPr>
          <w:b/>
        </w:rPr>
      </w:pPr>
      <w:r w:rsidRPr="00FB3AF9">
        <w:rPr>
          <w:b/>
        </w:rPr>
        <w:t xml:space="preserve">DNA </w:t>
      </w:r>
      <w:proofErr w:type="spellStart"/>
      <w:r w:rsidRPr="00FB3AF9">
        <w:rPr>
          <w:b/>
        </w:rPr>
        <w:t>intercalators</w:t>
      </w:r>
      <w:proofErr w:type="spellEnd"/>
    </w:p>
    <w:p w:rsidR="003D0059" w:rsidRDefault="001536B4" w:rsidP="005E482B">
      <w:pPr>
        <w:spacing w:after="120"/>
      </w:pPr>
      <w:r>
        <w:rPr>
          <w:bCs/>
          <w:iCs/>
        </w:rPr>
        <w:lastRenderedPageBreak/>
        <w:t xml:space="preserve">The DNA </w:t>
      </w:r>
      <w:proofErr w:type="spellStart"/>
      <w:r>
        <w:rPr>
          <w:bCs/>
          <w:iCs/>
        </w:rPr>
        <w:t>intercalators</w:t>
      </w:r>
      <w:proofErr w:type="spellEnd"/>
      <w:r>
        <w:rPr>
          <w:bCs/>
          <w:iCs/>
        </w:rPr>
        <w:t xml:space="preserve"> </w:t>
      </w:r>
      <w:r w:rsidRPr="00E756DF">
        <w:t xml:space="preserve">include </w:t>
      </w:r>
      <w:r w:rsidRPr="001536B4">
        <w:rPr>
          <w:b/>
        </w:rPr>
        <w:t>doxorubicin</w:t>
      </w:r>
      <w:r w:rsidRPr="00E756DF">
        <w:t xml:space="preserve"> (I-V) and </w:t>
      </w:r>
      <w:proofErr w:type="spellStart"/>
      <w:r w:rsidRPr="001536B4">
        <w:rPr>
          <w:b/>
        </w:rPr>
        <w:t>daunorubicin</w:t>
      </w:r>
      <w:proofErr w:type="spellEnd"/>
      <w:r w:rsidRPr="00E756DF">
        <w:t xml:space="preserve"> </w:t>
      </w:r>
      <w:r>
        <w:t>(I-V) and they can also be termed as</w:t>
      </w:r>
      <w:r w:rsidRPr="00E756DF">
        <w:t xml:space="preserve"> type II </w:t>
      </w:r>
      <w:proofErr w:type="spellStart"/>
      <w:r w:rsidRPr="00E756DF">
        <w:t>topoisomerise</w:t>
      </w:r>
      <w:proofErr w:type="spellEnd"/>
      <w:r w:rsidRPr="00E756DF">
        <w:t xml:space="preserve"> inhibitors</w:t>
      </w:r>
      <w:r>
        <w:t xml:space="preserve">. They </w:t>
      </w:r>
      <w:r w:rsidRPr="00E756DF">
        <w:t>‘poison’ topoisomerase II by intercalating DNA and stabilising the topoisomerase-DNA complex thus preventing re-ligation.</w:t>
      </w:r>
      <w:r w:rsidRPr="00E756DF">
        <w:rPr>
          <w:bCs/>
          <w:iCs/>
        </w:rPr>
        <w:t xml:space="preserve"> They are primarily used </w:t>
      </w:r>
      <w:r>
        <w:rPr>
          <w:bCs/>
          <w:iCs/>
        </w:rPr>
        <w:t>for the treatment o</w:t>
      </w:r>
      <w:r w:rsidRPr="00E756DF">
        <w:rPr>
          <w:bCs/>
          <w:iCs/>
        </w:rPr>
        <w:t xml:space="preserve">f liquid tumours (e.g. </w:t>
      </w:r>
      <w:proofErr w:type="spellStart"/>
      <w:r w:rsidRPr="00E756DF">
        <w:rPr>
          <w:bCs/>
          <w:iCs/>
        </w:rPr>
        <w:t>leukaemias</w:t>
      </w:r>
      <w:proofErr w:type="spellEnd"/>
      <w:r w:rsidRPr="00E756DF">
        <w:rPr>
          <w:bCs/>
          <w:iCs/>
        </w:rPr>
        <w:t xml:space="preserve"> &amp; lymphomas), although doxorubicin has </w:t>
      </w:r>
      <w:r>
        <w:rPr>
          <w:bCs/>
          <w:iCs/>
        </w:rPr>
        <w:t>a number of indications</w:t>
      </w:r>
      <w:r w:rsidRPr="00E756DF">
        <w:rPr>
          <w:bCs/>
          <w:iCs/>
        </w:rPr>
        <w:t>. They are b</w:t>
      </w:r>
      <w:r w:rsidRPr="00E756DF">
        <w:t xml:space="preserve">oth are associated with </w:t>
      </w:r>
      <w:proofErr w:type="spellStart"/>
      <w:r w:rsidRPr="00E756DF">
        <w:t>myelosuppression</w:t>
      </w:r>
      <w:proofErr w:type="spellEnd"/>
      <w:r w:rsidRPr="00E756DF">
        <w:t>, alopecia, nausea &amp; vomiting.</w:t>
      </w:r>
    </w:p>
    <w:p w:rsidR="009618A0" w:rsidRDefault="003D0059" w:rsidP="005E482B">
      <w:pPr>
        <w:spacing w:after="0"/>
      </w:pPr>
      <w:proofErr w:type="spellStart"/>
      <w:r w:rsidRPr="004D0CDD">
        <w:rPr>
          <w:b/>
        </w:rPr>
        <w:t>Trastuzumab</w:t>
      </w:r>
      <w:proofErr w:type="spellEnd"/>
      <w:r>
        <w:t xml:space="preserve"> is recommended for HER-2 positive breast cancer and is a monoclonal antibody that binds to the extracellular region of the HER-2 </w:t>
      </w:r>
      <w:proofErr w:type="spellStart"/>
      <w:r>
        <w:t>neu</w:t>
      </w:r>
      <w:proofErr w:type="spellEnd"/>
      <w:r>
        <w:t xml:space="preserve"> receptor.</w:t>
      </w:r>
    </w:p>
    <w:p w:rsidR="009618A0" w:rsidRDefault="009618A0" w:rsidP="005E482B">
      <w:pPr>
        <w:spacing w:after="0"/>
      </w:pPr>
    </w:p>
    <w:p w:rsidR="00AE28F6" w:rsidRPr="009618A0" w:rsidRDefault="001536B4" w:rsidP="005E482B">
      <w:pPr>
        <w:pStyle w:val="Heading2"/>
      </w:pPr>
      <w:r>
        <w:t>Other c</w:t>
      </w:r>
      <w:r w:rsidR="008844BD">
        <w:t>ytotoxic drugs</w:t>
      </w:r>
    </w:p>
    <w:p w:rsidR="006B4D77" w:rsidRDefault="006B4D77" w:rsidP="005E482B">
      <w:pPr>
        <w:pStyle w:val="Heading3"/>
      </w:pPr>
      <w:r>
        <w:t>Other A</w:t>
      </w:r>
      <w:r w:rsidR="001B13FF">
        <w:t>ntimetabolites (also see tables 4 &amp; 5)</w:t>
      </w:r>
      <w:r>
        <w:t>)</w:t>
      </w:r>
    </w:p>
    <w:p w:rsidR="006B4D77" w:rsidRDefault="006B4D77" w:rsidP="005E482B">
      <w:pPr>
        <w:rPr>
          <w:rFonts w:cs="Arial"/>
        </w:rPr>
      </w:pPr>
      <w:r w:rsidRPr="00D66A25">
        <w:rPr>
          <w:rFonts w:cs="Arial"/>
          <w:b/>
        </w:rPr>
        <w:t>Methotrexate</w:t>
      </w:r>
      <w:r>
        <w:rPr>
          <w:rFonts w:cs="Arial"/>
        </w:rPr>
        <w:t xml:space="preserve"> is also an antimetabolite that exerts its effects by inhibiting the critical enzyme in </w:t>
      </w:r>
      <w:proofErr w:type="spellStart"/>
      <w:r>
        <w:rPr>
          <w:rFonts w:cs="Arial"/>
        </w:rPr>
        <w:t>folate</w:t>
      </w:r>
      <w:proofErr w:type="spellEnd"/>
      <w:r>
        <w:rPr>
          <w:rFonts w:cs="Arial"/>
        </w:rPr>
        <w:t xml:space="preserve"> metabolism, </w:t>
      </w:r>
      <w:proofErr w:type="spellStart"/>
      <w:r>
        <w:rPr>
          <w:rFonts w:cs="Arial"/>
        </w:rPr>
        <w:t>dihyrofolate</w:t>
      </w:r>
      <w:proofErr w:type="spellEnd"/>
      <w:r>
        <w:rPr>
          <w:rFonts w:cs="Arial"/>
        </w:rPr>
        <w:t xml:space="preserve"> </w:t>
      </w:r>
      <w:proofErr w:type="spellStart"/>
      <w:r>
        <w:rPr>
          <w:rFonts w:cs="Arial"/>
        </w:rPr>
        <w:t>reductase</w:t>
      </w:r>
      <w:proofErr w:type="spellEnd"/>
      <w:r>
        <w:rPr>
          <w:rFonts w:cs="Arial"/>
        </w:rPr>
        <w:t xml:space="preserve">. It is effective against a range of solid and liquid tumours but is associated with </w:t>
      </w:r>
      <w:proofErr w:type="spellStart"/>
      <w:r>
        <w:rPr>
          <w:rFonts w:cs="Arial"/>
        </w:rPr>
        <w:t>myelo</w:t>
      </w:r>
      <w:proofErr w:type="spellEnd"/>
      <w:r>
        <w:rPr>
          <w:rFonts w:cs="Arial"/>
        </w:rPr>
        <w:t xml:space="preserve">-suppression and gastrointestinal toxicity. </w:t>
      </w:r>
      <w:proofErr w:type="spellStart"/>
      <w:r w:rsidRPr="00D66A25">
        <w:rPr>
          <w:rFonts w:cs="Arial"/>
          <w:b/>
        </w:rPr>
        <w:t>Capecitabine</w:t>
      </w:r>
      <w:proofErr w:type="spellEnd"/>
      <w:r>
        <w:rPr>
          <w:rFonts w:cs="Arial"/>
          <w:b/>
        </w:rPr>
        <w:t xml:space="preserve">, </w:t>
      </w:r>
      <w:proofErr w:type="spellStart"/>
      <w:r w:rsidRPr="00D66A25">
        <w:rPr>
          <w:rFonts w:cs="Arial"/>
          <w:b/>
        </w:rPr>
        <w:t>cyt</w:t>
      </w:r>
      <w:r>
        <w:rPr>
          <w:rFonts w:cs="Arial"/>
          <w:b/>
        </w:rPr>
        <w:t>a</w:t>
      </w:r>
      <w:r w:rsidRPr="00D66A25">
        <w:rPr>
          <w:rFonts w:cs="Arial"/>
          <w:b/>
        </w:rPr>
        <w:t>rabine</w:t>
      </w:r>
      <w:proofErr w:type="spellEnd"/>
      <w:r>
        <w:rPr>
          <w:rFonts w:cs="Arial"/>
          <w:b/>
        </w:rPr>
        <w:t xml:space="preserve">, gemcitabine </w:t>
      </w:r>
      <w:r>
        <w:rPr>
          <w:rFonts w:cs="Arial"/>
        </w:rPr>
        <w:t xml:space="preserve">(see later) and </w:t>
      </w:r>
      <w:proofErr w:type="spellStart"/>
      <w:r w:rsidRPr="00657847">
        <w:rPr>
          <w:rFonts w:cs="Arial"/>
          <w:b/>
        </w:rPr>
        <w:t>mercaptopurine</w:t>
      </w:r>
      <w:proofErr w:type="spellEnd"/>
      <w:r w:rsidRPr="00657847">
        <w:rPr>
          <w:rFonts w:cs="Arial"/>
          <w:b/>
        </w:rPr>
        <w:t xml:space="preserve"> </w:t>
      </w:r>
      <w:r w:rsidR="00192E16">
        <w:rPr>
          <w:rFonts w:cs="Arial"/>
        </w:rPr>
        <w:t>are other prominent anti</w:t>
      </w:r>
      <w:r>
        <w:rPr>
          <w:rFonts w:cs="Arial"/>
        </w:rPr>
        <w:t>metabolites.</w:t>
      </w:r>
    </w:p>
    <w:p w:rsidR="002C58D0" w:rsidRDefault="002C58D0" w:rsidP="005E482B">
      <w:pPr>
        <w:pStyle w:val="Heading3"/>
      </w:pPr>
      <w:r>
        <w:t>Other topoisomer</w:t>
      </w:r>
      <w:r w:rsidR="001B13FF">
        <w:t>ase inhibitors (also see tables 4 &amp; 5</w:t>
      </w:r>
      <w:r>
        <w:t>)</w:t>
      </w:r>
    </w:p>
    <w:p w:rsidR="002C58D0" w:rsidRDefault="002C58D0" w:rsidP="005E482B">
      <w:proofErr w:type="spellStart"/>
      <w:r w:rsidRPr="002C58D0">
        <w:rPr>
          <w:b/>
        </w:rPr>
        <w:t>Irinotecan</w:t>
      </w:r>
      <w:proofErr w:type="spellEnd"/>
      <w:r>
        <w:rPr>
          <w:b/>
        </w:rPr>
        <w:t xml:space="preserve"> </w:t>
      </w:r>
      <w:r>
        <w:t>(I-V) and</w:t>
      </w:r>
      <w:r w:rsidRPr="006D7D14">
        <w:t xml:space="preserve"> </w:t>
      </w:r>
      <w:proofErr w:type="spellStart"/>
      <w:r w:rsidRPr="002C58D0">
        <w:rPr>
          <w:b/>
        </w:rPr>
        <w:t>topotecan</w:t>
      </w:r>
      <w:proofErr w:type="spellEnd"/>
      <w:r w:rsidR="00192E16">
        <w:rPr>
          <w:b/>
        </w:rPr>
        <w:t xml:space="preserve"> </w:t>
      </w:r>
      <w:r w:rsidR="00192E16">
        <w:t>(I-V)</w:t>
      </w:r>
      <w:r>
        <w:t xml:space="preserve"> inhibit the type I topoisomerase enzyme and neither are indicated for NSCLC. </w:t>
      </w:r>
      <w:proofErr w:type="spellStart"/>
      <w:r w:rsidR="00192E16">
        <w:t>Irinotecan</w:t>
      </w:r>
      <w:proofErr w:type="spellEnd"/>
      <w:r w:rsidR="00192E16">
        <w:t xml:space="preserve"> is licensed as combination therapy and </w:t>
      </w:r>
      <w:proofErr w:type="spellStart"/>
      <w:r w:rsidR="00192E16">
        <w:t>monotherapy</w:t>
      </w:r>
      <w:proofErr w:type="spellEnd"/>
      <w:r w:rsidR="00192E16">
        <w:t xml:space="preserve"> for the treatment of metastatic colorectal cancer. </w:t>
      </w:r>
      <w:proofErr w:type="spellStart"/>
      <w:r w:rsidR="00192E16">
        <w:t>T</w:t>
      </w:r>
      <w:r>
        <w:t>opotecan</w:t>
      </w:r>
      <w:proofErr w:type="spellEnd"/>
      <w:r>
        <w:t xml:space="preserve"> is licensed for the treatment of relapsed small cell lung cancer</w:t>
      </w:r>
      <w:r w:rsidR="00192E16">
        <w:t xml:space="preserve"> and metastatic ovarian cancer</w:t>
      </w:r>
      <w:r>
        <w:t xml:space="preserve">. Both drugs are associated with </w:t>
      </w:r>
      <w:proofErr w:type="spellStart"/>
      <w:r>
        <w:t>myelosuppression</w:t>
      </w:r>
      <w:proofErr w:type="spellEnd"/>
      <w:r>
        <w:t>.</w:t>
      </w:r>
    </w:p>
    <w:p w:rsidR="00E756DF" w:rsidRDefault="00E756DF" w:rsidP="00E756DF">
      <w:pPr>
        <w:pStyle w:val="Heading3"/>
      </w:pPr>
    </w:p>
    <w:p w:rsidR="00E2627D" w:rsidRPr="00E756DF" w:rsidRDefault="00E2627D" w:rsidP="00E756DF">
      <w:r w:rsidRPr="00E756DF">
        <w:br w:type="page"/>
      </w:r>
    </w:p>
    <w:p w:rsidR="00E2627D" w:rsidRPr="00E2627D" w:rsidRDefault="009618A0" w:rsidP="002C58D0">
      <w:pPr>
        <w:rPr>
          <w:b/>
        </w:rPr>
      </w:pPr>
      <w:r>
        <w:rPr>
          <w:b/>
        </w:rPr>
        <w:lastRenderedPageBreak/>
        <w:t>Table 4</w:t>
      </w:r>
      <w:r w:rsidR="00E2627D" w:rsidRPr="00E2627D">
        <w:rPr>
          <w:b/>
        </w:rPr>
        <w:t>: Selected cytotoxic drugs</w:t>
      </w:r>
    </w:p>
    <w:tbl>
      <w:tblPr>
        <w:tblStyle w:val="TableGrid"/>
        <w:tblW w:w="10632" w:type="dxa"/>
        <w:tblInd w:w="-318" w:type="dxa"/>
        <w:tblLook w:val="04A0" w:firstRow="1" w:lastRow="0" w:firstColumn="1" w:lastColumn="0" w:noHBand="0" w:noVBand="1"/>
      </w:tblPr>
      <w:tblGrid>
        <w:gridCol w:w="1988"/>
        <w:gridCol w:w="2231"/>
        <w:gridCol w:w="3260"/>
        <w:gridCol w:w="3153"/>
      </w:tblGrid>
      <w:tr w:rsidR="00837FA1" w:rsidTr="00E2627D">
        <w:tc>
          <w:tcPr>
            <w:tcW w:w="1988" w:type="dxa"/>
            <w:shd w:val="clear" w:color="auto" w:fill="F2F2F2" w:themeFill="background1" w:themeFillShade="F2"/>
            <w:vAlign w:val="center"/>
          </w:tcPr>
          <w:p w:rsidR="00E87720" w:rsidRPr="00E87720" w:rsidRDefault="00E87720" w:rsidP="009E7190">
            <w:pPr>
              <w:spacing w:before="120" w:after="120"/>
              <w:jc w:val="left"/>
              <w:rPr>
                <w:b/>
              </w:rPr>
            </w:pPr>
            <w:r w:rsidRPr="00E87720">
              <w:rPr>
                <w:b/>
              </w:rPr>
              <w:t>Drug category</w:t>
            </w:r>
          </w:p>
        </w:tc>
        <w:tc>
          <w:tcPr>
            <w:tcW w:w="2231" w:type="dxa"/>
            <w:shd w:val="clear" w:color="auto" w:fill="F2F2F2" w:themeFill="background1" w:themeFillShade="F2"/>
            <w:vAlign w:val="center"/>
          </w:tcPr>
          <w:p w:rsidR="00E87720" w:rsidRPr="00E87720" w:rsidRDefault="00E87720" w:rsidP="009E7190">
            <w:pPr>
              <w:spacing w:before="120" w:after="120"/>
              <w:jc w:val="left"/>
              <w:rPr>
                <w:b/>
              </w:rPr>
            </w:pPr>
            <w:r>
              <w:rPr>
                <w:b/>
              </w:rPr>
              <w:t>Selected</w:t>
            </w:r>
            <w:r w:rsidRPr="00E87720">
              <w:rPr>
                <w:b/>
              </w:rPr>
              <w:t xml:space="preserve"> examples</w:t>
            </w:r>
          </w:p>
        </w:tc>
        <w:tc>
          <w:tcPr>
            <w:tcW w:w="3260" w:type="dxa"/>
            <w:shd w:val="clear" w:color="auto" w:fill="F2F2F2" w:themeFill="background1" w:themeFillShade="F2"/>
            <w:vAlign w:val="center"/>
          </w:tcPr>
          <w:p w:rsidR="00E87720" w:rsidRPr="00E87720" w:rsidRDefault="00E87720" w:rsidP="009E7190">
            <w:pPr>
              <w:spacing w:before="120" w:after="120"/>
              <w:jc w:val="left"/>
              <w:rPr>
                <w:b/>
              </w:rPr>
            </w:pPr>
            <w:r w:rsidRPr="00E87720">
              <w:rPr>
                <w:b/>
              </w:rPr>
              <w:t>Mechanism of action</w:t>
            </w:r>
          </w:p>
        </w:tc>
        <w:tc>
          <w:tcPr>
            <w:tcW w:w="3153" w:type="dxa"/>
            <w:shd w:val="clear" w:color="auto" w:fill="F2F2F2" w:themeFill="background1" w:themeFillShade="F2"/>
            <w:vAlign w:val="center"/>
          </w:tcPr>
          <w:p w:rsidR="00E87720" w:rsidRPr="00E87720" w:rsidRDefault="00E87720" w:rsidP="009E7190">
            <w:pPr>
              <w:spacing w:before="120" w:after="120"/>
              <w:jc w:val="left"/>
              <w:rPr>
                <w:b/>
              </w:rPr>
            </w:pPr>
            <w:r>
              <w:rPr>
                <w:b/>
              </w:rPr>
              <w:t>Common s</w:t>
            </w:r>
            <w:r w:rsidRPr="00E87720">
              <w:rPr>
                <w:b/>
              </w:rPr>
              <w:t>ide-effects</w:t>
            </w:r>
          </w:p>
        </w:tc>
      </w:tr>
      <w:tr w:rsidR="00837FA1" w:rsidTr="00E2627D">
        <w:tc>
          <w:tcPr>
            <w:tcW w:w="1988" w:type="dxa"/>
            <w:vMerge w:val="restart"/>
            <w:shd w:val="clear" w:color="auto" w:fill="F2F2F2" w:themeFill="background1" w:themeFillShade="F2"/>
            <w:vAlign w:val="center"/>
          </w:tcPr>
          <w:p w:rsidR="00E87720" w:rsidRPr="00E87720" w:rsidRDefault="00AD7E0E" w:rsidP="00AD7E0E">
            <w:pPr>
              <w:spacing w:after="0"/>
              <w:jc w:val="left"/>
              <w:rPr>
                <w:b/>
              </w:rPr>
            </w:pPr>
            <w:r w:rsidRPr="00E87720">
              <w:rPr>
                <w:b/>
              </w:rPr>
              <w:t>Antimetabolite</w:t>
            </w:r>
            <w:r>
              <w:rPr>
                <w:b/>
              </w:rPr>
              <w:t>s</w:t>
            </w:r>
          </w:p>
        </w:tc>
        <w:tc>
          <w:tcPr>
            <w:tcW w:w="2231" w:type="dxa"/>
            <w:vAlign w:val="center"/>
          </w:tcPr>
          <w:p w:rsidR="00E87720" w:rsidRPr="00E87720" w:rsidRDefault="00E87720" w:rsidP="00B610A5">
            <w:pPr>
              <w:spacing w:after="0"/>
              <w:contextualSpacing/>
              <w:jc w:val="left"/>
              <w:rPr>
                <w:rFonts w:cs="Arial"/>
              </w:rPr>
            </w:pPr>
            <w:r w:rsidRPr="00E87720">
              <w:rPr>
                <w:rFonts w:cs="Arial"/>
              </w:rPr>
              <w:t xml:space="preserve">Methotrexate </w:t>
            </w:r>
          </w:p>
        </w:tc>
        <w:tc>
          <w:tcPr>
            <w:tcW w:w="3260" w:type="dxa"/>
            <w:vAlign w:val="center"/>
          </w:tcPr>
          <w:p w:rsidR="00E87720" w:rsidRDefault="00E87720" w:rsidP="00B610A5">
            <w:pPr>
              <w:spacing w:after="0"/>
              <w:jc w:val="left"/>
            </w:pPr>
            <w:r>
              <w:rPr>
                <w:rFonts w:cs="Arial"/>
              </w:rPr>
              <w:t xml:space="preserve">DHF </w:t>
            </w:r>
            <w:proofErr w:type="spellStart"/>
            <w:r>
              <w:rPr>
                <w:rFonts w:cs="Arial"/>
              </w:rPr>
              <w:t>reductase</w:t>
            </w:r>
            <w:proofErr w:type="spellEnd"/>
            <w:r>
              <w:rPr>
                <w:rFonts w:cs="Arial"/>
              </w:rPr>
              <w:t xml:space="preserve"> inhibitor</w:t>
            </w:r>
          </w:p>
        </w:tc>
        <w:tc>
          <w:tcPr>
            <w:tcW w:w="3153" w:type="dxa"/>
            <w:vAlign w:val="center"/>
          </w:tcPr>
          <w:p w:rsidR="00E87720" w:rsidRDefault="005818DC" w:rsidP="00B610A5">
            <w:pPr>
              <w:spacing w:after="0"/>
              <w:jc w:val="left"/>
            </w:pPr>
            <w:proofErr w:type="spellStart"/>
            <w:r>
              <w:t>Myelosuppression</w:t>
            </w:r>
            <w:proofErr w:type="spellEnd"/>
            <w:r>
              <w:t>, gastrointestinal toxicity</w:t>
            </w:r>
            <w:r w:rsidR="004D0CDD">
              <w:t xml:space="preserve">, oral </w:t>
            </w:r>
            <w:proofErr w:type="spellStart"/>
            <w:r w:rsidR="004D0CDD">
              <w:t>mucositis</w:t>
            </w:r>
            <w:proofErr w:type="spellEnd"/>
          </w:p>
        </w:tc>
      </w:tr>
      <w:tr w:rsidR="00837FA1" w:rsidTr="00E2627D">
        <w:tc>
          <w:tcPr>
            <w:tcW w:w="1988" w:type="dxa"/>
            <w:vMerge/>
            <w:shd w:val="clear" w:color="auto" w:fill="F2F2F2" w:themeFill="background1" w:themeFillShade="F2"/>
            <w:vAlign w:val="center"/>
          </w:tcPr>
          <w:p w:rsidR="00E87720" w:rsidRPr="00E87720" w:rsidRDefault="00E87720" w:rsidP="00E87720">
            <w:pPr>
              <w:spacing w:after="0"/>
              <w:jc w:val="left"/>
              <w:rPr>
                <w:b/>
              </w:rPr>
            </w:pPr>
          </w:p>
        </w:tc>
        <w:tc>
          <w:tcPr>
            <w:tcW w:w="2231" w:type="dxa"/>
            <w:vAlign w:val="center"/>
          </w:tcPr>
          <w:p w:rsidR="00E87720" w:rsidRPr="00E87720" w:rsidRDefault="00E87720" w:rsidP="00B610A5">
            <w:pPr>
              <w:spacing w:after="0"/>
              <w:contextualSpacing/>
              <w:jc w:val="left"/>
              <w:rPr>
                <w:rFonts w:cs="Arial"/>
              </w:rPr>
            </w:pPr>
            <w:proofErr w:type="spellStart"/>
            <w:r w:rsidRPr="00E87720">
              <w:rPr>
                <w:rFonts w:cs="Arial"/>
              </w:rPr>
              <w:t>Mercaptopurine</w:t>
            </w:r>
            <w:proofErr w:type="spellEnd"/>
            <w:r w:rsidRPr="00E87720">
              <w:rPr>
                <w:rFonts w:cs="Arial"/>
              </w:rPr>
              <w:t xml:space="preserve"> </w:t>
            </w:r>
          </w:p>
        </w:tc>
        <w:tc>
          <w:tcPr>
            <w:tcW w:w="3260" w:type="dxa"/>
            <w:vAlign w:val="center"/>
          </w:tcPr>
          <w:p w:rsidR="00E87720" w:rsidRDefault="001E5801" w:rsidP="00B610A5">
            <w:pPr>
              <w:spacing w:after="0"/>
              <w:jc w:val="left"/>
            </w:pPr>
            <w:r>
              <w:rPr>
                <w:rFonts w:cs="Arial"/>
              </w:rPr>
              <w:t xml:space="preserve">Inhibits the </w:t>
            </w:r>
            <w:proofErr w:type="spellStart"/>
            <w:r>
              <w:rPr>
                <w:rFonts w:cs="Arial"/>
              </w:rPr>
              <w:t>phosphoribosyl</w:t>
            </w:r>
            <w:proofErr w:type="spellEnd"/>
            <w:r>
              <w:rPr>
                <w:rFonts w:cs="Arial"/>
              </w:rPr>
              <w:t xml:space="preserve"> </w:t>
            </w:r>
            <w:proofErr w:type="spellStart"/>
            <w:r>
              <w:rPr>
                <w:rFonts w:cs="Arial"/>
              </w:rPr>
              <w:t>transferase</w:t>
            </w:r>
            <w:proofErr w:type="spellEnd"/>
            <w:r>
              <w:rPr>
                <w:rFonts w:cs="Arial"/>
              </w:rPr>
              <w:t xml:space="preserve"> enzymes involved in purine synthesis</w:t>
            </w:r>
          </w:p>
        </w:tc>
        <w:tc>
          <w:tcPr>
            <w:tcW w:w="3153" w:type="dxa"/>
            <w:vAlign w:val="center"/>
          </w:tcPr>
          <w:p w:rsidR="00E87720" w:rsidRDefault="001E5801" w:rsidP="00B610A5">
            <w:pPr>
              <w:spacing w:after="0"/>
              <w:jc w:val="left"/>
            </w:pPr>
            <w:proofErr w:type="spellStart"/>
            <w:r>
              <w:t>Myelosuppression</w:t>
            </w:r>
            <w:proofErr w:type="spellEnd"/>
            <w:r>
              <w:t>, gastrointestinal toxicity</w:t>
            </w:r>
          </w:p>
        </w:tc>
      </w:tr>
      <w:tr w:rsidR="00837FA1" w:rsidTr="00E2627D">
        <w:tc>
          <w:tcPr>
            <w:tcW w:w="1988" w:type="dxa"/>
            <w:vMerge/>
            <w:shd w:val="clear" w:color="auto" w:fill="F2F2F2" w:themeFill="background1" w:themeFillShade="F2"/>
            <w:vAlign w:val="center"/>
          </w:tcPr>
          <w:p w:rsidR="00E87720" w:rsidRPr="00E87720" w:rsidRDefault="00E87720" w:rsidP="00E87720">
            <w:pPr>
              <w:spacing w:after="0"/>
              <w:jc w:val="left"/>
              <w:rPr>
                <w:b/>
              </w:rPr>
            </w:pPr>
          </w:p>
        </w:tc>
        <w:tc>
          <w:tcPr>
            <w:tcW w:w="2231" w:type="dxa"/>
            <w:vAlign w:val="center"/>
          </w:tcPr>
          <w:p w:rsidR="00E87720" w:rsidRPr="00E87720" w:rsidRDefault="009E62C2" w:rsidP="00B610A5">
            <w:pPr>
              <w:spacing w:after="0"/>
              <w:contextualSpacing/>
              <w:jc w:val="left"/>
              <w:rPr>
                <w:rFonts w:cs="Arial"/>
              </w:rPr>
            </w:pPr>
            <w:r>
              <w:rPr>
                <w:rFonts w:cs="Arial"/>
              </w:rPr>
              <w:t>5-</w:t>
            </w:r>
            <w:r w:rsidR="00AD7E0E">
              <w:rPr>
                <w:rFonts w:cs="Arial"/>
              </w:rPr>
              <w:t xml:space="preserve">Fluorouracil, </w:t>
            </w:r>
            <w:proofErr w:type="spellStart"/>
            <w:r w:rsidR="00AD7E0E">
              <w:rPr>
                <w:rFonts w:cs="Arial"/>
              </w:rPr>
              <w:t>C</w:t>
            </w:r>
            <w:r w:rsidR="00E87720" w:rsidRPr="00E87720">
              <w:rPr>
                <w:rFonts w:cs="Arial"/>
              </w:rPr>
              <w:t>apecetabine</w:t>
            </w:r>
            <w:proofErr w:type="spellEnd"/>
            <w:r w:rsidR="00E87720" w:rsidRPr="00E87720">
              <w:rPr>
                <w:rFonts w:cs="Arial"/>
              </w:rPr>
              <w:t xml:space="preserve"> </w:t>
            </w:r>
          </w:p>
        </w:tc>
        <w:tc>
          <w:tcPr>
            <w:tcW w:w="3260" w:type="dxa"/>
            <w:vAlign w:val="center"/>
          </w:tcPr>
          <w:p w:rsidR="00E87720" w:rsidRDefault="009E7190" w:rsidP="00B610A5">
            <w:pPr>
              <w:spacing w:after="0"/>
              <w:jc w:val="left"/>
            </w:pPr>
            <w:proofErr w:type="spellStart"/>
            <w:r>
              <w:rPr>
                <w:rFonts w:cs="Arial"/>
              </w:rPr>
              <w:t>T</w:t>
            </w:r>
            <w:r w:rsidR="005B7011">
              <w:rPr>
                <w:rFonts w:cs="Arial"/>
              </w:rPr>
              <w:t>hymidy</w:t>
            </w:r>
            <w:r w:rsidR="00E87720">
              <w:rPr>
                <w:rFonts w:cs="Arial"/>
              </w:rPr>
              <w:t>late</w:t>
            </w:r>
            <w:proofErr w:type="spellEnd"/>
            <w:r w:rsidR="00E87720">
              <w:rPr>
                <w:rFonts w:cs="Arial"/>
              </w:rPr>
              <w:t xml:space="preserve"> synthase inhibitor</w:t>
            </w:r>
          </w:p>
        </w:tc>
        <w:tc>
          <w:tcPr>
            <w:tcW w:w="3153" w:type="dxa"/>
            <w:vAlign w:val="center"/>
          </w:tcPr>
          <w:p w:rsidR="00E87720" w:rsidRDefault="005818DC" w:rsidP="00B610A5">
            <w:pPr>
              <w:spacing w:after="0"/>
              <w:jc w:val="left"/>
            </w:pPr>
            <w:r>
              <w:t>Bone marrow toxicity, diarrhoea, hand-foot syndrome</w:t>
            </w:r>
            <w:r w:rsidR="004D0CDD">
              <w:t xml:space="preserve">, oral </w:t>
            </w:r>
            <w:proofErr w:type="spellStart"/>
            <w:r w:rsidR="004D0CDD">
              <w:t>mucositis</w:t>
            </w:r>
            <w:proofErr w:type="spellEnd"/>
          </w:p>
        </w:tc>
      </w:tr>
      <w:tr w:rsidR="00837FA1" w:rsidTr="00E2627D">
        <w:tc>
          <w:tcPr>
            <w:tcW w:w="1988" w:type="dxa"/>
            <w:vMerge/>
            <w:shd w:val="clear" w:color="auto" w:fill="F2F2F2" w:themeFill="background1" w:themeFillShade="F2"/>
            <w:vAlign w:val="center"/>
          </w:tcPr>
          <w:p w:rsidR="00E87720" w:rsidRPr="00E87720" w:rsidRDefault="00E87720" w:rsidP="00E87720">
            <w:pPr>
              <w:spacing w:after="0"/>
              <w:jc w:val="left"/>
              <w:rPr>
                <w:b/>
              </w:rPr>
            </w:pPr>
          </w:p>
        </w:tc>
        <w:tc>
          <w:tcPr>
            <w:tcW w:w="2231" w:type="dxa"/>
            <w:vAlign w:val="center"/>
          </w:tcPr>
          <w:p w:rsidR="00E87720" w:rsidRPr="00E87720" w:rsidRDefault="00E87720" w:rsidP="00B610A5">
            <w:pPr>
              <w:spacing w:after="0"/>
              <w:contextualSpacing/>
              <w:jc w:val="left"/>
              <w:rPr>
                <w:rFonts w:cs="Arial"/>
              </w:rPr>
            </w:pPr>
            <w:proofErr w:type="spellStart"/>
            <w:r w:rsidRPr="00E87720">
              <w:rPr>
                <w:rFonts w:cs="Arial"/>
              </w:rPr>
              <w:t>Cytar</w:t>
            </w:r>
            <w:r w:rsidR="00AD7E0E">
              <w:rPr>
                <w:rFonts w:cs="Arial"/>
              </w:rPr>
              <w:t>abine</w:t>
            </w:r>
            <w:proofErr w:type="spellEnd"/>
            <w:r w:rsidR="00AD7E0E">
              <w:rPr>
                <w:rFonts w:cs="Arial"/>
              </w:rPr>
              <w:t>, Gemcitabine</w:t>
            </w:r>
          </w:p>
        </w:tc>
        <w:tc>
          <w:tcPr>
            <w:tcW w:w="3260" w:type="dxa"/>
            <w:vAlign w:val="center"/>
          </w:tcPr>
          <w:p w:rsidR="00E87720" w:rsidRDefault="00AD7E0E" w:rsidP="00AD7E0E">
            <w:pPr>
              <w:spacing w:after="0"/>
              <w:jc w:val="left"/>
            </w:pPr>
            <w:r>
              <w:rPr>
                <w:rFonts w:cs="Arial"/>
              </w:rPr>
              <w:t xml:space="preserve">Potent inhibitors of </w:t>
            </w:r>
            <w:r w:rsidR="00E87720">
              <w:rPr>
                <w:rFonts w:cs="Arial"/>
              </w:rPr>
              <w:t xml:space="preserve">DNA </w:t>
            </w:r>
            <w:proofErr w:type="gramStart"/>
            <w:r w:rsidR="00E87720">
              <w:rPr>
                <w:rFonts w:cs="Arial"/>
              </w:rPr>
              <w:t>polymerase</w:t>
            </w:r>
            <w:r>
              <w:rPr>
                <w:rFonts w:cs="Arial"/>
              </w:rPr>
              <w:t xml:space="preserve">s </w:t>
            </w:r>
            <w:proofErr w:type="gramEnd"/>
            <w:r>
              <w:rPr>
                <w:rFonts w:cs="Arial"/>
              </w:rPr>
              <w:sym w:font="Symbol" w:char="F061"/>
            </w:r>
            <w:r>
              <w:rPr>
                <w:rFonts w:cs="Arial"/>
              </w:rPr>
              <w:t>,</w:t>
            </w:r>
            <w:r>
              <w:rPr>
                <w:rFonts w:cs="Arial"/>
              </w:rPr>
              <w:sym w:font="Symbol" w:char="F062"/>
            </w:r>
            <w:r>
              <w:rPr>
                <w:rFonts w:cs="Arial"/>
              </w:rPr>
              <w:t xml:space="preserve"> and </w:t>
            </w:r>
            <w:r>
              <w:rPr>
                <w:rFonts w:cs="Arial"/>
              </w:rPr>
              <w:sym w:font="Symbol" w:char="F067"/>
            </w:r>
            <w:r>
              <w:rPr>
                <w:rFonts w:cs="Arial"/>
              </w:rPr>
              <w:t xml:space="preserve">. Gemcitabine also inhibits </w:t>
            </w:r>
            <w:proofErr w:type="spellStart"/>
            <w:r>
              <w:rPr>
                <w:rFonts w:cs="Arial"/>
              </w:rPr>
              <w:t>ribonuclease</w:t>
            </w:r>
            <w:proofErr w:type="spellEnd"/>
            <w:r>
              <w:rPr>
                <w:rFonts w:cs="Arial"/>
              </w:rPr>
              <w:t xml:space="preserve"> </w:t>
            </w:r>
            <w:proofErr w:type="spellStart"/>
            <w:r>
              <w:rPr>
                <w:rFonts w:cs="Arial"/>
              </w:rPr>
              <w:t>reductase</w:t>
            </w:r>
            <w:proofErr w:type="spellEnd"/>
          </w:p>
        </w:tc>
        <w:tc>
          <w:tcPr>
            <w:tcW w:w="3153" w:type="dxa"/>
            <w:vAlign w:val="center"/>
          </w:tcPr>
          <w:p w:rsidR="00E87720" w:rsidRDefault="00AD7E0E" w:rsidP="00B610A5">
            <w:pPr>
              <w:spacing w:after="0"/>
              <w:jc w:val="left"/>
            </w:pPr>
            <w:proofErr w:type="spellStart"/>
            <w:r>
              <w:t>Myelosuppression</w:t>
            </w:r>
            <w:proofErr w:type="spellEnd"/>
            <w:r>
              <w:t>, leukopenia, thrombocytopenia</w:t>
            </w:r>
          </w:p>
        </w:tc>
      </w:tr>
      <w:tr w:rsidR="00837FA1" w:rsidTr="00E2627D">
        <w:tc>
          <w:tcPr>
            <w:tcW w:w="1988" w:type="dxa"/>
            <w:vMerge w:val="restart"/>
            <w:shd w:val="clear" w:color="auto" w:fill="F2F2F2" w:themeFill="background1" w:themeFillShade="F2"/>
            <w:vAlign w:val="center"/>
          </w:tcPr>
          <w:p w:rsidR="00E87720" w:rsidRPr="00E87720" w:rsidRDefault="00E87720" w:rsidP="00E87720">
            <w:pPr>
              <w:spacing w:after="0"/>
              <w:jc w:val="left"/>
              <w:rPr>
                <w:b/>
              </w:rPr>
            </w:pPr>
            <w:r w:rsidRPr="00E87720">
              <w:rPr>
                <w:b/>
              </w:rPr>
              <w:t>Topoisomerase inhibitors</w:t>
            </w:r>
          </w:p>
        </w:tc>
        <w:tc>
          <w:tcPr>
            <w:tcW w:w="2231" w:type="dxa"/>
            <w:vAlign w:val="center"/>
          </w:tcPr>
          <w:p w:rsidR="00E87720" w:rsidRPr="00E87720" w:rsidRDefault="00E87720" w:rsidP="00B610A5">
            <w:pPr>
              <w:spacing w:after="0"/>
              <w:ind w:firstLine="9"/>
              <w:contextualSpacing/>
              <w:jc w:val="left"/>
              <w:rPr>
                <w:rFonts w:cs="Arial"/>
              </w:rPr>
            </w:pPr>
            <w:proofErr w:type="spellStart"/>
            <w:r w:rsidRPr="00E87720">
              <w:rPr>
                <w:rFonts w:cs="Arial"/>
              </w:rPr>
              <w:t>Irinotecan</w:t>
            </w:r>
            <w:proofErr w:type="spellEnd"/>
            <w:r w:rsidRPr="00E87720">
              <w:rPr>
                <w:rFonts w:cs="Arial"/>
              </w:rPr>
              <w:t xml:space="preserve"> </w:t>
            </w:r>
          </w:p>
        </w:tc>
        <w:tc>
          <w:tcPr>
            <w:tcW w:w="3260" w:type="dxa"/>
            <w:vAlign w:val="center"/>
          </w:tcPr>
          <w:p w:rsidR="00E87720" w:rsidRDefault="005818DC" w:rsidP="00B610A5">
            <w:pPr>
              <w:spacing w:after="0"/>
              <w:jc w:val="left"/>
            </w:pPr>
            <w:r>
              <w:rPr>
                <w:rFonts w:cs="Arial"/>
              </w:rPr>
              <w:t>Inhibits the type I enzyme that is able to cut one DNA strand</w:t>
            </w:r>
          </w:p>
        </w:tc>
        <w:tc>
          <w:tcPr>
            <w:tcW w:w="3153" w:type="dxa"/>
            <w:vAlign w:val="center"/>
          </w:tcPr>
          <w:p w:rsidR="00E87720" w:rsidRDefault="00242DF0" w:rsidP="00B610A5">
            <w:pPr>
              <w:spacing w:after="0"/>
              <w:jc w:val="left"/>
            </w:pPr>
            <w:proofErr w:type="spellStart"/>
            <w:r>
              <w:t>Myelosuppression</w:t>
            </w:r>
            <w:proofErr w:type="spellEnd"/>
            <w:r>
              <w:t>, diarrhoea</w:t>
            </w:r>
          </w:p>
        </w:tc>
      </w:tr>
      <w:tr w:rsidR="00837FA1" w:rsidTr="00E2627D">
        <w:tc>
          <w:tcPr>
            <w:tcW w:w="1988" w:type="dxa"/>
            <w:vMerge/>
            <w:shd w:val="clear" w:color="auto" w:fill="F2F2F2" w:themeFill="background1" w:themeFillShade="F2"/>
            <w:vAlign w:val="center"/>
          </w:tcPr>
          <w:p w:rsidR="00E87720" w:rsidRPr="00E87720" w:rsidRDefault="00E87720" w:rsidP="00E87720">
            <w:pPr>
              <w:spacing w:after="0"/>
              <w:jc w:val="left"/>
              <w:rPr>
                <w:b/>
              </w:rPr>
            </w:pPr>
          </w:p>
        </w:tc>
        <w:tc>
          <w:tcPr>
            <w:tcW w:w="2231" w:type="dxa"/>
            <w:vAlign w:val="center"/>
          </w:tcPr>
          <w:p w:rsidR="00E87720" w:rsidRDefault="00E87720" w:rsidP="00B610A5">
            <w:pPr>
              <w:spacing w:after="0"/>
              <w:ind w:firstLine="9"/>
              <w:jc w:val="left"/>
            </w:pPr>
            <w:proofErr w:type="spellStart"/>
            <w:r w:rsidRPr="00E87720">
              <w:rPr>
                <w:rFonts w:cs="Arial"/>
              </w:rPr>
              <w:t>Etoposide</w:t>
            </w:r>
            <w:proofErr w:type="spellEnd"/>
            <w:r w:rsidRPr="00E87720">
              <w:rPr>
                <w:rFonts w:cs="Arial"/>
              </w:rPr>
              <w:t xml:space="preserve"> </w:t>
            </w:r>
          </w:p>
        </w:tc>
        <w:tc>
          <w:tcPr>
            <w:tcW w:w="3260" w:type="dxa"/>
            <w:vAlign w:val="center"/>
          </w:tcPr>
          <w:p w:rsidR="00E87720" w:rsidRDefault="005818DC" w:rsidP="005818DC">
            <w:pPr>
              <w:spacing w:after="0"/>
              <w:jc w:val="left"/>
            </w:pPr>
            <w:r>
              <w:rPr>
                <w:rFonts w:cs="Arial"/>
              </w:rPr>
              <w:t>Inhibits the type II enzyme that is able to cut two DNA strands</w:t>
            </w:r>
          </w:p>
        </w:tc>
        <w:tc>
          <w:tcPr>
            <w:tcW w:w="3153" w:type="dxa"/>
            <w:vAlign w:val="center"/>
          </w:tcPr>
          <w:p w:rsidR="00E87720" w:rsidRDefault="00242DF0" w:rsidP="00B610A5">
            <w:pPr>
              <w:spacing w:after="0"/>
              <w:jc w:val="left"/>
            </w:pPr>
            <w:proofErr w:type="spellStart"/>
            <w:r>
              <w:t>Myelosuppression</w:t>
            </w:r>
            <w:proofErr w:type="spellEnd"/>
            <w:r>
              <w:t>, leukopenia</w:t>
            </w:r>
          </w:p>
        </w:tc>
      </w:tr>
      <w:tr w:rsidR="00837FA1" w:rsidTr="00E2627D">
        <w:tc>
          <w:tcPr>
            <w:tcW w:w="1988" w:type="dxa"/>
            <w:vMerge w:val="restart"/>
            <w:shd w:val="clear" w:color="auto" w:fill="F2F2F2" w:themeFill="background1" w:themeFillShade="F2"/>
            <w:vAlign w:val="center"/>
          </w:tcPr>
          <w:p w:rsidR="00E87720" w:rsidRPr="00E87720" w:rsidRDefault="00E87720" w:rsidP="00E87720">
            <w:pPr>
              <w:spacing w:after="0"/>
              <w:jc w:val="left"/>
              <w:rPr>
                <w:b/>
              </w:rPr>
            </w:pPr>
            <w:r w:rsidRPr="00E87720">
              <w:rPr>
                <w:b/>
              </w:rPr>
              <w:t xml:space="preserve">DNA </w:t>
            </w:r>
            <w:proofErr w:type="spellStart"/>
            <w:r w:rsidRPr="00E87720">
              <w:rPr>
                <w:b/>
              </w:rPr>
              <w:t>intercalators</w:t>
            </w:r>
            <w:proofErr w:type="spellEnd"/>
          </w:p>
        </w:tc>
        <w:tc>
          <w:tcPr>
            <w:tcW w:w="2231" w:type="dxa"/>
            <w:vAlign w:val="center"/>
          </w:tcPr>
          <w:p w:rsidR="00837FA1" w:rsidRDefault="00837FA1" w:rsidP="00B610A5">
            <w:pPr>
              <w:spacing w:after="0"/>
              <w:contextualSpacing/>
              <w:jc w:val="left"/>
              <w:rPr>
                <w:rFonts w:cs="Arial"/>
              </w:rPr>
            </w:pPr>
            <w:proofErr w:type="spellStart"/>
            <w:r>
              <w:rPr>
                <w:rFonts w:cs="Arial"/>
              </w:rPr>
              <w:t>Daunorubicin</w:t>
            </w:r>
            <w:proofErr w:type="spellEnd"/>
            <w:r>
              <w:rPr>
                <w:rFonts w:cs="Arial"/>
              </w:rPr>
              <w:t>,</w:t>
            </w:r>
          </w:p>
          <w:p w:rsidR="00E87720" w:rsidRPr="00E87720" w:rsidRDefault="00E87720" w:rsidP="00B610A5">
            <w:pPr>
              <w:spacing w:after="0"/>
              <w:contextualSpacing/>
              <w:jc w:val="left"/>
              <w:rPr>
                <w:rFonts w:cs="Arial"/>
              </w:rPr>
            </w:pPr>
            <w:r w:rsidRPr="00E87720">
              <w:rPr>
                <w:rFonts w:cs="Arial"/>
              </w:rPr>
              <w:t xml:space="preserve">Doxorubicin </w:t>
            </w:r>
          </w:p>
        </w:tc>
        <w:tc>
          <w:tcPr>
            <w:tcW w:w="3260" w:type="dxa"/>
            <w:vAlign w:val="center"/>
          </w:tcPr>
          <w:p w:rsidR="00E87720" w:rsidRDefault="00837FA1" w:rsidP="001D6117">
            <w:pPr>
              <w:spacing w:after="0"/>
              <w:jc w:val="left"/>
            </w:pPr>
            <w:r>
              <w:rPr>
                <w:rFonts w:cs="Arial"/>
              </w:rPr>
              <w:t>Intercalate DNA and ‘poison’</w:t>
            </w:r>
            <w:r w:rsidR="001D6117">
              <w:rPr>
                <w:rFonts w:cs="Arial"/>
              </w:rPr>
              <w:t xml:space="preserve"> </w:t>
            </w:r>
            <w:r>
              <w:rPr>
                <w:rFonts w:cs="Arial"/>
              </w:rPr>
              <w:t xml:space="preserve">type II topoisomerase </w:t>
            </w:r>
          </w:p>
        </w:tc>
        <w:tc>
          <w:tcPr>
            <w:tcW w:w="3153" w:type="dxa"/>
            <w:vAlign w:val="center"/>
          </w:tcPr>
          <w:p w:rsidR="00E87720" w:rsidRDefault="00837FA1" w:rsidP="00B610A5">
            <w:pPr>
              <w:spacing w:after="0"/>
              <w:jc w:val="left"/>
            </w:pPr>
            <w:proofErr w:type="spellStart"/>
            <w:r>
              <w:t>Myelosuppression</w:t>
            </w:r>
            <w:proofErr w:type="spellEnd"/>
            <w:r>
              <w:t>, nausea, vomiting, alopecia</w:t>
            </w:r>
          </w:p>
        </w:tc>
      </w:tr>
      <w:tr w:rsidR="00837FA1" w:rsidTr="00E2627D">
        <w:tc>
          <w:tcPr>
            <w:tcW w:w="1988" w:type="dxa"/>
            <w:vMerge/>
            <w:shd w:val="clear" w:color="auto" w:fill="F2F2F2" w:themeFill="background1" w:themeFillShade="F2"/>
            <w:vAlign w:val="center"/>
          </w:tcPr>
          <w:p w:rsidR="00E87720" w:rsidRPr="00E87720" w:rsidRDefault="00E87720" w:rsidP="00E87720">
            <w:pPr>
              <w:spacing w:after="0"/>
              <w:jc w:val="left"/>
              <w:rPr>
                <w:b/>
              </w:rPr>
            </w:pPr>
          </w:p>
        </w:tc>
        <w:tc>
          <w:tcPr>
            <w:tcW w:w="2231" w:type="dxa"/>
            <w:vAlign w:val="center"/>
          </w:tcPr>
          <w:p w:rsidR="00837FA1" w:rsidRDefault="00837FA1" w:rsidP="00B610A5">
            <w:pPr>
              <w:spacing w:after="0"/>
              <w:jc w:val="left"/>
              <w:rPr>
                <w:rFonts w:cs="Arial"/>
              </w:rPr>
            </w:pPr>
            <w:proofErr w:type="spellStart"/>
            <w:r>
              <w:rPr>
                <w:rFonts w:cs="Arial"/>
              </w:rPr>
              <w:t>Dactinomycin</w:t>
            </w:r>
            <w:proofErr w:type="spellEnd"/>
            <w:r>
              <w:rPr>
                <w:rFonts w:cs="Arial"/>
              </w:rPr>
              <w:t>,</w:t>
            </w:r>
          </w:p>
          <w:p w:rsidR="00E87720" w:rsidRDefault="00E87720" w:rsidP="00B610A5">
            <w:pPr>
              <w:spacing w:after="0"/>
              <w:jc w:val="left"/>
            </w:pPr>
            <w:proofErr w:type="spellStart"/>
            <w:r w:rsidRPr="00E87720">
              <w:rPr>
                <w:rFonts w:cs="Arial"/>
              </w:rPr>
              <w:t>Bleomycin</w:t>
            </w:r>
            <w:proofErr w:type="spellEnd"/>
          </w:p>
        </w:tc>
        <w:tc>
          <w:tcPr>
            <w:tcW w:w="3260" w:type="dxa"/>
            <w:vAlign w:val="center"/>
          </w:tcPr>
          <w:p w:rsidR="00E87720" w:rsidRDefault="00837FA1" w:rsidP="00B610A5">
            <w:pPr>
              <w:spacing w:after="0"/>
              <w:jc w:val="left"/>
            </w:pPr>
            <w:r>
              <w:t>Intercalate DNA between adjacent G-C bases</w:t>
            </w:r>
            <w:r w:rsidR="001D6117">
              <w:t xml:space="preserve"> </w:t>
            </w:r>
            <w:r w:rsidR="001D6117">
              <w:rPr>
                <w:rFonts w:cs="Arial"/>
              </w:rPr>
              <w:t>and ‘poison’ type II topoisomerase</w:t>
            </w:r>
          </w:p>
        </w:tc>
        <w:tc>
          <w:tcPr>
            <w:tcW w:w="3153" w:type="dxa"/>
            <w:vAlign w:val="center"/>
          </w:tcPr>
          <w:p w:rsidR="00E87720" w:rsidRDefault="001D6117" w:rsidP="00B610A5">
            <w:pPr>
              <w:spacing w:after="0"/>
              <w:jc w:val="left"/>
            </w:pPr>
            <w:proofErr w:type="spellStart"/>
            <w:r>
              <w:t>Myelosuppression</w:t>
            </w:r>
            <w:proofErr w:type="spellEnd"/>
            <w:r>
              <w:t>, nausea, vomiting, alopecia</w:t>
            </w:r>
          </w:p>
        </w:tc>
      </w:tr>
      <w:tr w:rsidR="00837FA1" w:rsidTr="00E2627D">
        <w:trPr>
          <w:trHeight w:val="873"/>
        </w:trPr>
        <w:tc>
          <w:tcPr>
            <w:tcW w:w="1988" w:type="dxa"/>
            <w:vMerge w:val="restart"/>
            <w:shd w:val="clear" w:color="auto" w:fill="F2F2F2" w:themeFill="background1" w:themeFillShade="F2"/>
            <w:vAlign w:val="center"/>
          </w:tcPr>
          <w:p w:rsidR="00A11511" w:rsidRPr="00E87720" w:rsidRDefault="00A11511" w:rsidP="00E87720">
            <w:pPr>
              <w:spacing w:after="0"/>
              <w:jc w:val="left"/>
              <w:rPr>
                <w:b/>
              </w:rPr>
            </w:pPr>
            <w:r>
              <w:rPr>
                <w:b/>
              </w:rPr>
              <w:t>Alkylating agents</w:t>
            </w:r>
          </w:p>
        </w:tc>
        <w:tc>
          <w:tcPr>
            <w:tcW w:w="2231" w:type="dxa"/>
            <w:vAlign w:val="center"/>
          </w:tcPr>
          <w:p w:rsidR="00A11511" w:rsidRDefault="00A11511" w:rsidP="00B610A5">
            <w:pPr>
              <w:spacing w:after="0"/>
              <w:contextualSpacing/>
              <w:jc w:val="left"/>
              <w:rPr>
                <w:rFonts w:cs="Arial"/>
              </w:rPr>
            </w:pPr>
            <w:r>
              <w:rPr>
                <w:rFonts w:cs="Arial"/>
              </w:rPr>
              <w:t>Nitrogen mustards</w:t>
            </w:r>
            <w:r w:rsidR="009618A0">
              <w:rPr>
                <w:rFonts w:cs="Arial"/>
              </w:rPr>
              <w:t>:</w:t>
            </w:r>
          </w:p>
          <w:p w:rsidR="00A11511" w:rsidRPr="00E87720" w:rsidRDefault="00A11511" w:rsidP="00B610A5">
            <w:pPr>
              <w:spacing w:after="0"/>
              <w:contextualSpacing/>
              <w:jc w:val="left"/>
              <w:rPr>
                <w:rFonts w:cs="Arial"/>
              </w:rPr>
            </w:pPr>
            <w:r w:rsidRPr="00E87720">
              <w:rPr>
                <w:rFonts w:cs="Arial"/>
              </w:rPr>
              <w:t>Cyclophosphamide</w:t>
            </w:r>
            <w:r w:rsidR="00AD7E0E">
              <w:rPr>
                <w:rFonts w:cs="Arial"/>
              </w:rPr>
              <w:t>,</w:t>
            </w:r>
          </w:p>
          <w:p w:rsidR="00A11511" w:rsidRPr="00E87720" w:rsidRDefault="00A11511" w:rsidP="00B610A5">
            <w:pPr>
              <w:spacing w:after="0"/>
              <w:jc w:val="left"/>
              <w:rPr>
                <w:rFonts w:cs="Arial"/>
              </w:rPr>
            </w:pPr>
            <w:proofErr w:type="spellStart"/>
            <w:r w:rsidRPr="00E87720">
              <w:rPr>
                <w:rFonts w:cs="Arial"/>
              </w:rPr>
              <w:t>Chlorambucil</w:t>
            </w:r>
            <w:proofErr w:type="spellEnd"/>
            <w:r w:rsidRPr="00E87720">
              <w:rPr>
                <w:rFonts w:cs="Arial"/>
              </w:rPr>
              <w:t xml:space="preserve"> </w:t>
            </w:r>
          </w:p>
        </w:tc>
        <w:tc>
          <w:tcPr>
            <w:tcW w:w="3260" w:type="dxa"/>
            <w:vAlign w:val="center"/>
          </w:tcPr>
          <w:p w:rsidR="00A11511" w:rsidRDefault="00A11511" w:rsidP="00B610A5">
            <w:pPr>
              <w:spacing w:after="0"/>
              <w:jc w:val="left"/>
            </w:pPr>
            <w:r>
              <w:t>Form covalent bonds with DNA &amp; RNA preventing replication, transcription</w:t>
            </w:r>
          </w:p>
        </w:tc>
        <w:tc>
          <w:tcPr>
            <w:tcW w:w="3153" w:type="dxa"/>
            <w:vAlign w:val="center"/>
          </w:tcPr>
          <w:p w:rsidR="00A11511" w:rsidRDefault="007E3167" w:rsidP="00B610A5">
            <w:pPr>
              <w:spacing w:after="0"/>
              <w:jc w:val="left"/>
            </w:pPr>
            <w:r>
              <w:t xml:space="preserve">Bone marrow toxicity, </w:t>
            </w:r>
            <w:r w:rsidRPr="004D0CDD">
              <w:rPr>
                <w:b/>
              </w:rPr>
              <w:t>nausea, vomiting</w:t>
            </w:r>
          </w:p>
        </w:tc>
      </w:tr>
      <w:tr w:rsidR="00837FA1" w:rsidTr="00E2627D">
        <w:trPr>
          <w:trHeight w:val="592"/>
        </w:trPr>
        <w:tc>
          <w:tcPr>
            <w:tcW w:w="1988" w:type="dxa"/>
            <w:vMerge/>
            <w:shd w:val="clear" w:color="auto" w:fill="F2F2F2" w:themeFill="background1" w:themeFillShade="F2"/>
            <w:vAlign w:val="center"/>
          </w:tcPr>
          <w:p w:rsidR="00202C39" w:rsidRPr="00E87720" w:rsidRDefault="00202C39" w:rsidP="00E87720">
            <w:pPr>
              <w:spacing w:after="0"/>
              <w:jc w:val="left"/>
              <w:rPr>
                <w:b/>
              </w:rPr>
            </w:pPr>
          </w:p>
        </w:tc>
        <w:tc>
          <w:tcPr>
            <w:tcW w:w="2231" w:type="dxa"/>
            <w:vAlign w:val="center"/>
          </w:tcPr>
          <w:p w:rsidR="00202C39" w:rsidRDefault="00202C39" w:rsidP="00B610A5">
            <w:pPr>
              <w:spacing w:after="0"/>
              <w:jc w:val="left"/>
            </w:pPr>
            <w:r>
              <w:t>Platinum agents</w:t>
            </w:r>
            <w:r w:rsidR="009618A0">
              <w:t>:</w:t>
            </w:r>
          </w:p>
          <w:p w:rsidR="00202C39" w:rsidRDefault="00202C39" w:rsidP="00B610A5">
            <w:pPr>
              <w:spacing w:after="0"/>
              <w:jc w:val="left"/>
            </w:pPr>
            <w:proofErr w:type="spellStart"/>
            <w:r>
              <w:t>Cisplatin</w:t>
            </w:r>
            <w:proofErr w:type="spellEnd"/>
            <w:r w:rsidR="00AD7E0E">
              <w:t>,</w:t>
            </w:r>
          </w:p>
          <w:p w:rsidR="00202C39" w:rsidRDefault="00202C39" w:rsidP="00B610A5">
            <w:pPr>
              <w:spacing w:after="0"/>
              <w:jc w:val="left"/>
            </w:pPr>
            <w:r>
              <w:t>Carboplatin</w:t>
            </w:r>
          </w:p>
        </w:tc>
        <w:tc>
          <w:tcPr>
            <w:tcW w:w="3260" w:type="dxa"/>
            <w:vAlign w:val="center"/>
          </w:tcPr>
          <w:p w:rsidR="00202C39" w:rsidRDefault="00A11511" w:rsidP="00B610A5">
            <w:pPr>
              <w:spacing w:after="0"/>
              <w:jc w:val="left"/>
            </w:pPr>
            <w:r>
              <w:t>C</w:t>
            </w:r>
            <w:r w:rsidRPr="00A1540A">
              <w:t>rosslink DNA guanine residues</w:t>
            </w:r>
            <w:r>
              <w:t xml:space="preserve"> forming DNA adducts</w:t>
            </w:r>
          </w:p>
        </w:tc>
        <w:tc>
          <w:tcPr>
            <w:tcW w:w="3153" w:type="dxa"/>
            <w:vAlign w:val="center"/>
          </w:tcPr>
          <w:p w:rsidR="00202C39" w:rsidRDefault="007E3167" w:rsidP="007E3167">
            <w:pPr>
              <w:spacing w:after="0"/>
              <w:jc w:val="left"/>
            </w:pPr>
            <w:r>
              <w:t xml:space="preserve">Thrombocytopenia, </w:t>
            </w:r>
            <w:r w:rsidRPr="004D0CDD">
              <w:rPr>
                <w:b/>
              </w:rPr>
              <w:t>nausea, vomiting</w:t>
            </w:r>
          </w:p>
        </w:tc>
      </w:tr>
      <w:tr w:rsidR="00837FA1" w:rsidTr="00E2627D">
        <w:tc>
          <w:tcPr>
            <w:tcW w:w="1988" w:type="dxa"/>
            <w:vMerge w:val="restart"/>
            <w:shd w:val="clear" w:color="auto" w:fill="F2F2F2" w:themeFill="background1" w:themeFillShade="F2"/>
            <w:vAlign w:val="center"/>
          </w:tcPr>
          <w:p w:rsidR="00E87720" w:rsidRPr="00E87720" w:rsidRDefault="00E87720" w:rsidP="00E87720">
            <w:pPr>
              <w:spacing w:after="0"/>
              <w:jc w:val="left"/>
              <w:rPr>
                <w:b/>
              </w:rPr>
            </w:pPr>
            <w:r w:rsidRPr="00E87720">
              <w:rPr>
                <w:b/>
              </w:rPr>
              <w:t>Microtubule inhibitors</w:t>
            </w:r>
          </w:p>
        </w:tc>
        <w:tc>
          <w:tcPr>
            <w:tcW w:w="2231" w:type="dxa"/>
            <w:vAlign w:val="center"/>
          </w:tcPr>
          <w:p w:rsidR="00E87720" w:rsidRPr="00E87720" w:rsidRDefault="00E87720" w:rsidP="00B610A5">
            <w:pPr>
              <w:spacing w:after="0"/>
              <w:contextualSpacing/>
              <w:jc w:val="left"/>
              <w:rPr>
                <w:rFonts w:cs="Arial"/>
              </w:rPr>
            </w:pPr>
            <w:proofErr w:type="spellStart"/>
            <w:r>
              <w:rPr>
                <w:rFonts w:cs="Arial"/>
              </w:rPr>
              <w:t>Vinca</w:t>
            </w:r>
            <w:proofErr w:type="spellEnd"/>
            <w:r>
              <w:rPr>
                <w:rFonts w:cs="Arial"/>
              </w:rPr>
              <w:t xml:space="preserve"> alkaloids: </w:t>
            </w:r>
            <w:r w:rsidR="00B610A5">
              <w:rPr>
                <w:rFonts w:cs="Arial"/>
              </w:rPr>
              <w:t>V</w:t>
            </w:r>
            <w:r>
              <w:rPr>
                <w:rFonts w:cs="Arial"/>
              </w:rPr>
              <w:t>incristine,</w:t>
            </w:r>
            <w:r w:rsidR="00B610A5">
              <w:rPr>
                <w:rFonts w:cs="Arial"/>
              </w:rPr>
              <w:t xml:space="preserve"> V</w:t>
            </w:r>
            <w:r>
              <w:rPr>
                <w:rFonts w:cs="Arial"/>
              </w:rPr>
              <w:t>inblastine</w:t>
            </w:r>
          </w:p>
        </w:tc>
        <w:tc>
          <w:tcPr>
            <w:tcW w:w="3260" w:type="dxa"/>
            <w:vAlign w:val="center"/>
          </w:tcPr>
          <w:p w:rsidR="00E87720" w:rsidRDefault="00E87720" w:rsidP="00B610A5">
            <w:pPr>
              <w:spacing w:after="0"/>
              <w:jc w:val="left"/>
            </w:pPr>
            <w:r>
              <w:rPr>
                <w:rFonts w:cs="Arial"/>
              </w:rPr>
              <w:t>Inhibit assembly</w:t>
            </w:r>
          </w:p>
        </w:tc>
        <w:tc>
          <w:tcPr>
            <w:tcW w:w="3153" w:type="dxa"/>
            <w:vAlign w:val="center"/>
          </w:tcPr>
          <w:p w:rsidR="00E87720" w:rsidRDefault="00837FA1" w:rsidP="00B610A5">
            <w:pPr>
              <w:spacing w:after="0"/>
              <w:jc w:val="left"/>
            </w:pPr>
            <w:proofErr w:type="spellStart"/>
            <w:r>
              <w:t>Myelosuppression</w:t>
            </w:r>
            <w:proofErr w:type="spellEnd"/>
            <w:r>
              <w:t>, nausea, vomiting, alopecia</w:t>
            </w:r>
          </w:p>
        </w:tc>
      </w:tr>
      <w:tr w:rsidR="00837FA1" w:rsidTr="00E2627D">
        <w:tc>
          <w:tcPr>
            <w:tcW w:w="1988" w:type="dxa"/>
            <w:vMerge/>
            <w:shd w:val="clear" w:color="auto" w:fill="F2F2F2" w:themeFill="background1" w:themeFillShade="F2"/>
            <w:vAlign w:val="center"/>
          </w:tcPr>
          <w:p w:rsidR="00E87720" w:rsidRPr="00E87720" w:rsidRDefault="00E87720" w:rsidP="00E87720">
            <w:pPr>
              <w:spacing w:after="0"/>
              <w:jc w:val="left"/>
              <w:rPr>
                <w:b/>
              </w:rPr>
            </w:pPr>
          </w:p>
        </w:tc>
        <w:tc>
          <w:tcPr>
            <w:tcW w:w="2231" w:type="dxa"/>
            <w:vAlign w:val="center"/>
          </w:tcPr>
          <w:p w:rsidR="00E87720" w:rsidRDefault="00E87720" w:rsidP="00B610A5">
            <w:pPr>
              <w:spacing w:after="0"/>
              <w:jc w:val="left"/>
              <w:rPr>
                <w:rFonts w:cs="Arial"/>
              </w:rPr>
            </w:pPr>
            <w:proofErr w:type="spellStart"/>
            <w:r>
              <w:rPr>
                <w:rFonts w:cs="Arial"/>
              </w:rPr>
              <w:t>Taxanes</w:t>
            </w:r>
            <w:proofErr w:type="spellEnd"/>
            <w:r>
              <w:rPr>
                <w:rFonts w:cs="Arial"/>
              </w:rPr>
              <w:t>:</w:t>
            </w:r>
          </w:p>
          <w:p w:rsidR="00E87720" w:rsidRDefault="00B610A5" w:rsidP="00B610A5">
            <w:pPr>
              <w:spacing w:after="0"/>
              <w:jc w:val="left"/>
            </w:pPr>
            <w:proofErr w:type="spellStart"/>
            <w:r>
              <w:rPr>
                <w:rFonts w:cs="Arial"/>
              </w:rPr>
              <w:t>Docetaxel</w:t>
            </w:r>
            <w:proofErr w:type="spellEnd"/>
            <w:r>
              <w:rPr>
                <w:rFonts w:cs="Arial"/>
              </w:rPr>
              <w:t>, P</w:t>
            </w:r>
            <w:r w:rsidR="00E87720" w:rsidRPr="00E87720">
              <w:rPr>
                <w:rFonts w:cs="Arial"/>
              </w:rPr>
              <w:t xml:space="preserve">aclitaxel </w:t>
            </w:r>
          </w:p>
        </w:tc>
        <w:tc>
          <w:tcPr>
            <w:tcW w:w="3260" w:type="dxa"/>
            <w:vAlign w:val="center"/>
          </w:tcPr>
          <w:p w:rsidR="00E87720" w:rsidRDefault="00E87720" w:rsidP="00B610A5">
            <w:pPr>
              <w:spacing w:after="0"/>
              <w:jc w:val="left"/>
            </w:pPr>
            <w:r>
              <w:rPr>
                <w:rFonts w:cs="Arial"/>
              </w:rPr>
              <w:t>Inhibit disassembly</w:t>
            </w:r>
          </w:p>
        </w:tc>
        <w:tc>
          <w:tcPr>
            <w:tcW w:w="3153" w:type="dxa"/>
            <w:vAlign w:val="center"/>
          </w:tcPr>
          <w:p w:rsidR="00E87720" w:rsidRDefault="00B610A5" w:rsidP="00B610A5">
            <w:pPr>
              <w:spacing w:after="0"/>
              <w:jc w:val="left"/>
            </w:pPr>
            <w:proofErr w:type="spellStart"/>
            <w:r>
              <w:t>Myelosuppression</w:t>
            </w:r>
            <w:proofErr w:type="spellEnd"/>
            <w:r>
              <w:t>, nausea, vomiting, alopecia</w:t>
            </w:r>
          </w:p>
        </w:tc>
      </w:tr>
      <w:tr w:rsidR="00837FA1" w:rsidTr="00E2627D">
        <w:tc>
          <w:tcPr>
            <w:tcW w:w="1988" w:type="dxa"/>
            <w:vMerge w:val="restart"/>
            <w:shd w:val="clear" w:color="auto" w:fill="F2F2F2" w:themeFill="background1" w:themeFillShade="F2"/>
            <w:vAlign w:val="center"/>
          </w:tcPr>
          <w:p w:rsidR="00E87720" w:rsidRPr="00E87720" w:rsidRDefault="00E87720" w:rsidP="00E87720">
            <w:pPr>
              <w:spacing w:after="0"/>
              <w:jc w:val="left"/>
              <w:rPr>
                <w:b/>
              </w:rPr>
            </w:pPr>
            <w:r w:rsidRPr="00E87720">
              <w:rPr>
                <w:b/>
              </w:rPr>
              <w:t>Monoclonal antibodies</w:t>
            </w:r>
          </w:p>
        </w:tc>
        <w:tc>
          <w:tcPr>
            <w:tcW w:w="2231" w:type="dxa"/>
            <w:vAlign w:val="center"/>
          </w:tcPr>
          <w:p w:rsidR="00E87720" w:rsidRPr="00E87720" w:rsidRDefault="00E87720" w:rsidP="00B610A5">
            <w:pPr>
              <w:spacing w:after="0"/>
              <w:ind w:left="27" w:hanging="27"/>
              <w:contextualSpacing/>
              <w:jc w:val="left"/>
              <w:rPr>
                <w:rFonts w:cs="Arial"/>
              </w:rPr>
            </w:pPr>
            <w:r w:rsidRPr="00E87720">
              <w:rPr>
                <w:rFonts w:cs="Arial"/>
              </w:rPr>
              <w:t xml:space="preserve">Rituximab </w:t>
            </w:r>
          </w:p>
        </w:tc>
        <w:tc>
          <w:tcPr>
            <w:tcW w:w="3260" w:type="dxa"/>
            <w:vAlign w:val="center"/>
          </w:tcPr>
          <w:p w:rsidR="00E87720" w:rsidRDefault="0084222F" w:rsidP="00B610A5">
            <w:pPr>
              <w:spacing w:after="0"/>
              <w:jc w:val="left"/>
            </w:pPr>
            <w:r>
              <w:rPr>
                <w:rFonts w:cs="Arial"/>
              </w:rPr>
              <w:t xml:space="preserve">Chimeric </w:t>
            </w:r>
            <w:r w:rsidR="00E87720">
              <w:rPr>
                <w:rFonts w:cs="Arial"/>
              </w:rPr>
              <w:t>B-cell CD20</w:t>
            </w:r>
            <w:r>
              <w:rPr>
                <w:rFonts w:cs="Arial"/>
              </w:rPr>
              <w:t xml:space="preserve"> antibody</w:t>
            </w:r>
          </w:p>
        </w:tc>
        <w:tc>
          <w:tcPr>
            <w:tcW w:w="3153" w:type="dxa"/>
            <w:vAlign w:val="center"/>
          </w:tcPr>
          <w:p w:rsidR="00E87720" w:rsidRDefault="004D0CDD" w:rsidP="00B610A5">
            <w:pPr>
              <w:spacing w:after="0"/>
              <w:jc w:val="left"/>
            </w:pPr>
            <w:r>
              <w:t xml:space="preserve">Cytokine release syndrome, </w:t>
            </w:r>
            <w:r w:rsidRPr="004D0CDD">
              <w:t xml:space="preserve">progressive multifocal </w:t>
            </w:r>
            <w:proofErr w:type="spellStart"/>
            <w:r w:rsidRPr="004D0CDD">
              <w:t>leucoencephalopathy</w:t>
            </w:r>
            <w:proofErr w:type="spellEnd"/>
          </w:p>
        </w:tc>
      </w:tr>
      <w:tr w:rsidR="00837FA1" w:rsidTr="00E2627D">
        <w:tc>
          <w:tcPr>
            <w:tcW w:w="1988" w:type="dxa"/>
            <w:vMerge/>
            <w:shd w:val="clear" w:color="auto" w:fill="F2F2F2" w:themeFill="background1" w:themeFillShade="F2"/>
            <w:vAlign w:val="center"/>
          </w:tcPr>
          <w:p w:rsidR="00E87720" w:rsidRPr="00E87720" w:rsidRDefault="00E87720" w:rsidP="00E87720">
            <w:pPr>
              <w:spacing w:after="0"/>
              <w:jc w:val="left"/>
              <w:rPr>
                <w:b/>
              </w:rPr>
            </w:pPr>
          </w:p>
        </w:tc>
        <w:tc>
          <w:tcPr>
            <w:tcW w:w="2231" w:type="dxa"/>
            <w:vAlign w:val="center"/>
          </w:tcPr>
          <w:p w:rsidR="00E87720" w:rsidRPr="00E87720" w:rsidRDefault="00E87720" w:rsidP="00B610A5">
            <w:pPr>
              <w:spacing w:after="0"/>
              <w:ind w:left="27" w:hanging="27"/>
              <w:contextualSpacing/>
              <w:jc w:val="left"/>
              <w:rPr>
                <w:rFonts w:cs="Arial"/>
              </w:rPr>
            </w:pPr>
            <w:proofErr w:type="spellStart"/>
            <w:r w:rsidRPr="00E87720">
              <w:rPr>
                <w:rFonts w:cs="Arial"/>
              </w:rPr>
              <w:t>Trastuzumab</w:t>
            </w:r>
            <w:proofErr w:type="spellEnd"/>
            <w:r w:rsidRPr="00E87720">
              <w:rPr>
                <w:rFonts w:cs="Arial"/>
              </w:rPr>
              <w:t xml:space="preserve"> </w:t>
            </w:r>
          </w:p>
        </w:tc>
        <w:tc>
          <w:tcPr>
            <w:tcW w:w="3260" w:type="dxa"/>
            <w:vAlign w:val="center"/>
          </w:tcPr>
          <w:p w:rsidR="00E87720" w:rsidRDefault="00533B4F" w:rsidP="00B610A5">
            <w:pPr>
              <w:spacing w:after="0"/>
              <w:jc w:val="left"/>
            </w:pPr>
            <w:r>
              <w:rPr>
                <w:rFonts w:cs="Arial"/>
              </w:rPr>
              <w:t xml:space="preserve">Humanised </w:t>
            </w:r>
            <w:proofErr w:type="spellStart"/>
            <w:r>
              <w:rPr>
                <w:rFonts w:cs="Arial"/>
              </w:rPr>
              <w:t>IgG</w:t>
            </w:r>
            <w:proofErr w:type="spellEnd"/>
            <w:r>
              <w:rPr>
                <w:rFonts w:cs="Arial"/>
              </w:rPr>
              <w:t xml:space="preserve"> </w:t>
            </w:r>
            <w:r w:rsidR="00E87720">
              <w:rPr>
                <w:rFonts w:cs="Arial"/>
              </w:rPr>
              <w:t>HER2/</w:t>
            </w:r>
            <w:proofErr w:type="spellStart"/>
            <w:r w:rsidR="00E87720">
              <w:rPr>
                <w:rFonts w:cs="Arial"/>
              </w:rPr>
              <w:t>neu</w:t>
            </w:r>
            <w:proofErr w:type="spellEnd"/>
            <w:r>
              <w:rPr>
                <w:rFonts w:cs="Arial"/>
              </w:rPr>
              <w:t xml:space="preserve"> antibody</w:t>
            </w:r>
          </w:p>
        </w:tc>
        <w:tc>
          <w:tcPr>
            <w:tcW w:w="3153" w:type="dxa"/>
            <w:vAlign w:val="center"/>
          </w:tcPr>
          <w:p w:rsidR="00E87720" w:rsidRDefault="006B4D77" w:rsidP="00B610A5">
            <w:pPr>
              <w:spacing w:after="0"/>
              <w:jc w:val="left"/>
            </w:pPr>
            <w:proofErr w:type="spellStart"/>
            <w:r>
              <w:t>Cardiotoxicity</w:t>
            </w:r>
            <w:proofErr w:type="spellEnd"/>
          </w:p>
        </w:tc>
      </w:tr>
      <w:tr w:rsidR="00837FA1" w:rsidTr="00E2627D">
        <w:tc>
          <w:tcPr>
            <w:tcW w:w="1988" w:type="dxa"/>
            <w:vMerge/>
            <w:shd w:val="clear" w:color="auto" w:fill="F2F2F2" w:themeFill="background1" w:themeFillShade="F2"/>
            <w:vAlign w:val="center"/>
          </w:tcPr>
          <w:p w:rsidR="00E87720" w:rsidRPr="00E87720" w:rsidRDefault="00E87720" w:rsidP="00E87720">
            <w:pPr>
              <w:spacing w:after="0"/>
              <w:jc w:val="left"/>
              <w:rPr>
                <w:b/>
              </w:rPr>
            </w:pPr>
          </w:p>
        </w:tc>
        <w:tc>
          <w:tcPr>
            <w:tcW w:w="2231" w:type="dxa"/>
            <w:vAlign w:val="center"/>
          </w:tcPr>
          <w:p w:rsidR="00E87720" w:rsidRDefault="00E87720" w:rsidP="00B610A5">
            <w:pPr>
              <w:spacing w:after="0"/>
              <w:ind w:left="27" w:hanging="27"/>
              <w:jc w:val="left"/>
            </w:pPr>
            <w:proofErr w:type="spellStart"/>
            <w:r w:rsidRPr="00E87720">
              <w:rPr>
                <w:rFonts w:cs="Arial"/>
              </w:rPr>
              <w:t>Bevacizumab</w:t>
            </w:r>
            <w:proofErr w:type="spellEnd"/>
            <w:r w:rsidRPr="00E87720">
              <w:rPr>
                <w:rFonts w:cs="Arial"/>
              </w:rPr>
              <w:t xml:space="preserve"> </w:t>
            </w:r>
          </w:p>
        </w:tc>
        <w:tc>
          <w:tcPr>
            <w:tcW w:w="3260" w:type="dxa"/>
            <w:vAlign w:val="center"/>
          </w:tcPr>
          <w:p w:rsidR="00E87720" w:rsidRDefault="00533B4F" w:rsidP="00B610A5">
            <w:pPr>
              <w:spacing w:after="0"/>
              <w:jc w:val="left"/>
            </w:pPr>
            <w:r>
              <w:rPr>
                <w:rFonts w:cs="Arial"/>
              </w:rPr>
              <w:t xml:space="preserve">Humanised </w:t>
            </w:r>
            <w:proofErr w:type="spellStart"/>
            <w:r>
              <w:rPr>
                <w:rFonts w:cs="Arial"/>
              </w:rPr>
              <w:t>IgG</w:t>
            </w:r>
            <w:proofErr w:type="spellEnd"/>
            <w:r>
              <w:rPr>
                <w:rFonts w:cs="Arial"/>
              </w:rPr>
              <w:t xml:space="preserve"> </w:t>
            </w:r>
            <w:r w:rsidR="00E87720">
              <w:rPr>
                <w:rFonts w:cs="Arial"/>
              </w:rPr>
              <w:t>VEGF</w:t>
            </w:r>
            <w:r>
              <w:rPr>
                <w:rFonts w:cs="Arial"/>
              </w:rPr>
              <w:t xml:space="preserve"> antibody</w:t>
            </w:r>
          </w:p>
        </w:tc>
        <w:tc>
          <w:tcPr>
            <w:tcW w:w="3153" w:type="dxa"/>
            <w:vAlign w:val="center"/>
          </w:tcPr>
          <w:p w:rsidR="00E87720" w:rsidRDefault="006B4D77" w:rsidP="00B610A5">
            <w:pPr>
              <w:spacing w:after="0"/>
              <w:jc w:val="left"/>
            </w:pPr>
            <w:proofErr w:type="spellStart"/>
            <w:r>
              <w:t>Cardiotoxicity</w:t>
            </w:r>
            <w:proofErr w:type="spellEnd"/>
          </w:p>
        </w:tc>
      </w:tr>
      <w:tr w:rsidR="00837FA1" w:rsidTr="00E2627D">
        <w:tc>
          <w:tcPr>
            <w:tcW w:w="1988" w:type="dxa"/>
            <w:vMerge w:val="restart"/>
            <w:shd w:val="clear" w:color="auto" w:fill="F2F2F2" w:themeFill="background1" w:themeFillShade="F2"/>
            <w:vAlign w:val="center"/>
          </w:tcPr>
          <w:p w:rsidR="00E87720" w:rsidRPr="00E87720" w:rsidRDefault="00E87720" w:rsidP="00E87720">
            <w:pPr>
              <w:spacing w:after="0"/>
              <w:jc w:val="left"/>
              <w:rPr>
                <w:b/>
              </w:rPr>
            </w:pPr>
            <w:r w:rsidRPr="00E87720">
              <w:rPr>
                <w:b/>
              </w:rPr>
              <w:t>Tyrosine kinase inhibitors</w:t>
            </w:r>
          </w:p>
        </w:tc>
        <w:tc>
          <w:tcPr>
            <w:tcW w:w="2231" w:type="dxa"/>
            <w:vAlign w:val="center"/>
          </w:tcPr>
          <w:p w:rsidR="00E87720" w:rsidRPr="00E72BE7" w:rsidRDefault="00E87720" w:rsidP="00B610A5">
            <w:pPr>
              <w:spacing w:after="0"/>
              <w:contextualSpacing/>
              <w:jc w:val="left"/>
            </w:pPr>
            <w:proofErr w:type="spellStart"/>
            <w:r w:rsidRPr="00E87720">
              <w:rPr>
                <w:rFonts w:cs="Arial"/>
              </w:rPr>
              <w:t>Gefitinib</w:t>
            </w:r>
            <w:proofErr w:type="spellEnd"/>
            <w:r w:rsidRPr="00E87720">
              <w:rPr>
                <w:rFonts w:cs="Arial"/>
              </w:rPr>
              <w:t xml:space="preserve"> &amp; </w:t>
            </w:r>
            <w:proofErr w:type="spellStart"/>
            <w:r w:rsidRPr="00E87720">
              <w:rPr>
                <w:rFonts w:cs="Arial"/>
              </w:rPr>
              <w:t>Erlotinib</w:t>
            </w:r>
            <w:proofErr w:type="spellEnd"/>
            <w:r w:rsidRPr="00E87720">
              <w:rPr>
                <w:rFonts w:cs="Arial"/>
              </w:rPr>
              <w:t xml:space="preserve"> </w:t>
            </w:r>
          </w:p>
        </w:tc>
        <w:tc>
          <w:tcPr>
            <w:tcW w:w="3260" w:type="dxa"/>
            <w:vAlign w:val="center"/>
          </w:tcPr>
          <w:p w:rsidR="00E87720" w:rsidRDefault="00E87720" w:rsidP="00B610A5">
            <w:pPr>
              <w:spacing w:after="0"/>
              <w:jc w:val="left"/>
            </w:pPr>
            <w:r>
              <w:rPr>
                <w:rFonts w:cs="Arial"/>
              </w:rPr>
              <w:t>EGFR</w:t>
            </w:r>
          </w:p>
        </w:tc>
        <w:tc>
          <w:tcPr>
            <w:tcW w:w="3153" w:type="dxa"/>
            <w:vAlign w:val="center"/>
          </w:tcPr>
          <w:p w:rsidR="00E87720" w:rsidRDefault="00E77F9F" w:rsidP="00B610A5">
            <w:pPr>
              <w:spacing w:after="0"/>
              <w:jc w:val="left"/>
            </w:pPr>
            <w:r>
              <w:t>Hepatotoxicity, keratitis</w:t>
            </w:r>
          </w:p>
        </w:tc>
      </w:tr>
      <w:tr w:rsidR="00837FA1" w:rsidTr="00E2627D">
        <w:tc>
          <w:tcPr>
            <w:tcW w:w="1988" w:type="dxa"/>
            <w:vMerge/>
            <w:shd w:val="clear" w:color="auto" w:fill="F2F2F2" w:themeFill="background1" w:themeFillShade="F2"/>
          </w:tcPr>
          <w:p w:rsidR="00E87720" w:rsidRDefault="00E87720" w:rsidP="00745A63">
            <w:pPr>
              <w:spacing w:after="0"/>
            </w:pPr>
          </w:p>
        </w:tc>
        <w:tc>
          <w:tcPr>
            <w:tcW w:w="2231" w:type="dxa"/>
            <w:vAlign w:val="center"/>
          </w:tcPr>
          <w:p w:rsidR="00E87720" w:rsidRDefault="00E87720" w:rsidP="00B610A5">
            <w:pPr>
              <w:spacing w:after="0"/>
              <w:jc w:val="left"/>
            </w:pPr>
            <w:proofErr w:type="spellStart"/>
            <w:r w:rsidRPr="00E87720">
              <w:rPr>
                <w:rFonts w:cs="Arial"/>
              </w:rPr>
              <w:t>Sunitinib</w:t>
            </w:r>
            <w:proofErr w:type="spellEnd"/>
            <w:r w:rsidRPr="00E87720">
              <w:rPr>
                <w:rFonts w:cs="Arial"/>
              </w:rPr>
              <w:t xml:space="preserve"> </w:t>
            </w:r>
          </w:p>
        </w:tc>
        <w:tc>
          <w:tcPr>
            <w:tcW w:w="3260" w:type="dxa"/>
            <w:vAlign w:val="center"/>
          </w:tcPr>
          <w:p w:rsidR="00E87720" w:rsidRDefault="00E87720" w:rsidP="00B610A5">
            <w:pPr>
              <w:spacing w:after="0"/>
              <w:jc w:val="left"/>
            </w:pPr>
            <w:r>
              <w:rPr>
                <w:rFonts w:cs="Arial"/>
              </w:rPr>
              <w:t>M</w:t>
            </w:r>
            <w:r w:rsidRPr="00E87720">
              <w:rPr>
                <w:rFonts w:cs="Arial"/>
              </w:rPr>
              <w:t>ul</w:t>
            </w:r>
            <w:r>
              <w:rPr>
                <w:rFonts w:cs="Arial"/>
              </w:rPr>
              <w:t>tiple receptor tyrosine kinases</w:t>
            </w:r>
          </w:p>
        </w:tc>
        <w:tc>
          <w:tcPr>
            <w:tcW w:w="3153" w:type="dxa"/>
            <w:vAlign w:val="center"/>
          </w:tcPr>
          <w:p w:rsidR="00E87720" w:rsidRDefault="001536B4" w:rsidP="00B610A5">
            <w:pPr>
              <w:spacing w:after="0"/>
              <w:jc w:val="left"/>
            </w:pPr>
            <w:proofErr w:type="spellStart"/>
            <w:r>
              <w:t>Cardiotoxicity</w:t>
            </w:r>
            <w:proofErr w:type="spellEnd"/>
          </w:p>
        </w:tc>
      </w:tr>
    </w:tbl>
    <w:p w:rsidR="00745A63" w:rsidRDefault="00745A63" w:rsidP="00745A63">
      <w:pPr>
        <w:spacing w:after="0"/>
      </w:pPr>
    </w:p>
    <w:p w:rsidR="00916D37" w:rsidRDefault="00916D37" w:rsidP="00745A63">
      <w:pPr>
        <w:spacing w:after="0"/>
        <w:rPr>
          <w:b/>
        </w:rPr>
        <w:sectPr w:rsidR="00916D37" w:rsidSect="00BF1E69">
          <w:headerReference w:type="default" r:id="rId9"/>
          <w:pgSz w:w="11906" w:h="16838"/>
          <w:pgMar w:top="851" w:right="1077" w:bottom="851" w:left="1077" w:header="709" w:footer="709" w:gutter="0"/>
          <w:cols w:space="708"/>
          <w:docGrid w:linePitch="360"/>
        </w:sectPr>
      </w:pPr>
    </w:p>
    <w:p w:rsidR="00461533" w:rsidRDefault="00461533" w:rsidP="00745A63">
      <w:pPr>
        <w:spacing w:after="0"/>
        <w:rPr>
          <w:b/>
        </w:rPr>
      </w:pPr>
      <w:r w:rsidRPr="00461533">
        <w:rPr>
          <w:b/>
        </w:rPr>
        <w:lastRenderedPageBreak/>
        <w:t>Table 5</w:t>
      </w:r>
      <w:r w:rsidR="00916D37">
        <w:rPr>
          <w:b/>
        </w:rPr>
        <w:t>: Licensed indications of selected cytotoxic drugs</w:t>
      </w:r>
    </w:p>
    <w:tbl>
      <w:tblPr>
        <w:tblStyle w:val="TableGrid"/>
        <w:tblW w:w="14176" w:type="dxa"/>
        <w:tblInd w:w="392" w:type="dxa"/>
        <w:tblLayout w:type="fixed"/>
        <w:tblLook w:val="04A0" w:firstRow="1" w:lastRow="0" w:firstColumn="1" w:lastColumn="0" w:noHBand="0" w:noVBand="1"/>
      </w:tblPr>
      <w:tblGrid>
        <w:gridCol w:w="1168"/>
        <w:gridCol w:w="1381"/>
        <w:gridCol w:w="519"/>
        <w:gridCol w:w="521"/>
        <w:gridCol w:w="515"/>
        <w:gridCol w:w="521"/>
        <w:gridCol w:w="521"/>
        <w:gridCol w:w="525"/>
        <w:gridCol w:w="567"/>
        <w:gridCol w:w="709"/>
        <w:gridCol w:w="709"/>
        <w:gridCol w:w="567"/>
        <w:gridCol w:w="567"/>
        <w:gridCol w:w="1134"/>
        <w:gridCol w:w="708"/>
        <w:gridCol w:w="709"/>
        <w:gridCol w:w="567"/>
        <w:gridCol w:w="567"/>
        <w:gridCol w:w="567"/>
        <w:gridCol w:w="567"/>
        <w:gridCol w:w="567"/>
      </w:tblGrid>
      <w:tr w:rsidR="00916D37" w:rsidRPr="00D727B4" w:rsidTr="00916D37">
        <w:trPr>
          <w:trHeight w:val="677"/>
        </w:trPr>
        <w:tc>
          <w:tcPr>
            <w:tcW w:w="2549" w:type="dxa"/>
            <w:gridSpan w:val="2"/>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rsidR="00916D37" w:rsidRPr="00D727B4" w:rsidRDefault="00916D37" w:rsidP="00646DE6">
            <w:pPr>
              <w:jc w:val="center"/>
              <w:rPr>
                <w:rFonts w:cs="Arial"/>
              </w:rPr>
            </w:pPr>
          </w:p>
        </w:tc>
        <w:tc>
          <w:tcPr>
            <w:tcW w:w="2597" w:type="dxa"/>
            <w:gridSpan w:val="5"/>
            <w:tcBorders>
              <w:top w:val="double" w:sz="4" w:space="0" w:color="auto"/>
              <w:left w:val="single" w:sz="4" w:space="0" w:color="auto"/>
              <w:bottom w:val="double" w:sz="4" w:space="0" w:color="auto"/>
            </w:tcBorders>
            <w:shd w:val="clear" w:color="auto" w:fill="BFBFBF" w:themeFill="background1" w:themeFillShade="BF"/>
            <w:vAlign w:val="center"/>
          </w:tcPr>
          <w:p w:rsidR="00916D37" w:rsidRPr="00D727B4" w:rsidRDefault="00916D37" w:rsidP="00916D37">
            <w:pPr>
              <w:spacing w:after="0"/>
              <w:jc w:val="center"/>
              <w:rPr>
                <w:rFonts w:cs="Arial"/>
                <w:b/>
                <w:sz w:val="18"/>
                <w:szCs w:val="18"/>
              </w:rPr>
            </w:pPr>
            <w:r w:rsidRPr="00D727B4">
              <w:rPr>
                <w:rFonts w:cs="Arial"/>
                <w:b/>
                <w:sz w:val="18"/>
                <w:szCs w:val="18"/>
              </w:rPr>
              <w:t>Anti-metabolites</w:t>
            </w:r>
          </w:p>
        </w:tc>
        <w:tc>
          <w:tcPr>
            <w:tcW w:w="1092" w:type="dxa"/>
            <w:gridSpan w:val="2"/>
            <w:tcBorders>
              <w:top w:val="double" w:sz="4" w:space="0" w:color="auto"/>
              <w:bottom w:val="double" w:sz="4" w:space="0" w:color="auto"/>
            </w:tcBorders>
            <w:shd w:val="clear" w:color="auto" w:fill="BFBFBF" w:themeFill="background1" w:themeFillShade="BF"/>
            <w:vAlign w:val="center"/>
          </w:tcPr>
          <w:p w:rsidR="00916D37" w:rsidRPr="00D727B4" w:rsidRDefault="00916D37" w:rsidP="00916D37">
            <w:pPr>
              <w:spacing w:after="0"/>
              <w:jc w:val="center"/>
              <w:rPr>
                <w:rFonts w:cs="Arial"/>
                <w:b/>
                <w:sz w:val="18"/>
                <w:szCs w:val="18"/>
              </w:rPr>
            </w:pPr>
            <w:proofErr w:type="spellStart"/>
            <w:r>
              <w:rPr>
                <w:rFonts w:cs="Arial"/>
                <w:b/>
                <w:sz w:val="18"/>
                <w:szCs w:val="18"/>
              </w:rPr>
              <w:t>Topo-i</w:t>
            </w:r>
            <w:proofErr w:type="spellEnd"/>
            <w:r w:rsidRPr="00D727B4">
              <w:rPr>
                <w:rFonts w:cs="Arial"/>
                <w:b/>
                <w:sz w:val="18"/>
                <w:szCs w:val="18"/>
              </w:rPr>
              <w:t xml:space="preserve"> inhibitors</w:t>
            </w:r>
          </w:p>
        </w:tc>
        <w:tc>
          <w:tcPr>
            <w:tcW w:w="1418" w:type="dxa"/>
            <w:gridSpan w:val="2"/>
            <w:tcBorders>
              <w:top w:val="double" w:sz="4" w:space="0" w:color="auto"/>
              <w:bottom w:val="double" w:sz="4" w:space="0" w:color="auto"/>
            </w:tcBorders>
            <w:shd w:val="clear" w:color="auto" w:fill="BFBFBF" w:themeFill="background1" w:themeFillShade="BF"/>
            <w:vAlign w:val="center"/>
          </w:tcPr>
          <w:p w:rsidR="00916D37" w:rsidRPr="00D727B4" w:rsidRDefault="00916D37" w:rsidP="00916D37">
            <w:pPr>
              <w:spacing w:after="0"/>
              <w:jc w:val="center"/>
              <w:rPr>
                <w:rFonts w:cs="Arial"/>
                <w:b/>
                <w:sz w:val="18"/>
                <w:szCs w:val="18"/>
              </w:rPr>
            </w:pPr>
            <w:r w:rsidRPr="00D727B4">
              <w:rPr>
                <w:rFonts w:cs="Arial"/>
                <w:b/>
                <w:sz w:val="18"/>
                <w:szCs w:val="18"/>
              </w:rPr>
              <w:t xml:space="preserve">DNA </w:t>
            </w:r>
            <w:proofErr w:type="spellStart"/>
            <w:r w:rsidRPr="00D727B4">
              <w:rPr>
                <w:rFonts w:cs="Arial"/>
                <w:b/>
                <w:sz w:val="18"/>
                <w:szCs w:val="18"/>
              </w:rPr>
              <w:t>intercalators</w:t>
            </w:r>
            <w:proofErr w:type="spellEnd"/>
          </w:p>
        </w:tc>
        <w:tc>
          <w:tcPr>
            <w:tcW w:w="1134" w:type="dxa"/>
            <w:gridSpan w:val="2"/>
            <w:tcBorders>
              <w:top w:val="double" w:sz="4" w:space="0" w:color="auto"/>
              <w:bottom w:val="double" w:sz="4" w:space="0" w:color="auto"/>
            </w:tcBorders>
            <w:shd w:val="clear" w:color="auto" w:fill="BFBFBF" w:themeFill="background1" w:themeFillShade="BF"/>
            <w:vAlign w:val="center"/>
          </w:tcPr>
          <w:p w:rsidR="00916D37" w:rsidRPr="00D727B4" w:rsidRDefault="00916D37" w:rsidP="00916D37">
            <w:pPr>
              <w:spacing w:after="0"/>
              <w:jc w:val="center"/>
              <w:rPr>
                <w:rFonts w:cs="Arial"/>
                <w:b/>
                <w:sz w:val="18"/>
                <w:szCs w:val="18"/>
              </w:rPr>
            </w:pPr>
            <w:r w:rsidRPr="00D727B4">
              <w:rPr>
                <w:rFonts w:cs="Arial"/>
                <w:b/>
                <w:sz w:val="18"/>
                <w:szCs w:val="18"/>
              </w:rPr>
              <w:t>Nitrogen mustards</w:t>
            </w:r>
          </w:p>
        </w:tc>
        <w:tc>
          <w:tcPr>
            <w:tcW w:w="1134" w:type="dxa"/>
            <w:tcBorders>
              <w:top w:val="double" w:sz="4" w:space="0" w:color="auto"/>
              <w:bottom w:val="double" w:sz="4" w:space="0" w:color="auto"/>
            </w:tcBorders>
            <w:shd w:val="clear" w:color="auto" w:fill="BFBFBF" w:themeFill="background1" w:themeFillShade="BF"/>
            <w:vAlign w:val="center"/>
          </w:tcPr>
          <w:p w:rsidR="00916D37" w:rsidRPr="00D727B4" w:rsidRDefault="00916D37" w:rsidP="00916D37">
            <w:pPr>
              <w:spacing w:after="0"/>
              <w:jc w:val="center"/>
              <w:rPr>
                <w:rFonts w:cs="Arial"/>
                <w:b/>
                <w:sz w:val="18"/>
                <w:szCs w:val="18"/>
              </w:rPr>
            </w:pPr>
            <w:r w:rsidRPr="00D727B4">
              <w:rPr>
                <w:rFonts w:cs="Arial"/>
                <w:b/>
                <w:sz w:val="18"/>
                <w:szCs w:val="18"/>
              </w:rPr>
              <w:t>Platinum agents</w:t>
            </w:r>
          </w:p>
        </w:tc>
        <w:tc>
          <w:tcPr>
            <w:tcW w:w="1417" w:type="dxa"/>
            <w:gridSpan w:val="2"/>
            <w:tcBorders>
              <w:top w:val="double" w:sz="4" w:space="0" w:color="auto"/>
              <w:bottom w:val="double" w:sz="4" w:space="0" w:color="auto"/>
            </w:tcBorders>
            <w:shd w:val="clear" w:color="auto" w:fill="BFBFBF" w:themeFill="background1" w:themeFillShade="BF"/>
            <w:vAlign w:val="center"/>
          </w:tcPr>
          <w:p w:rsidR="00916D37" w:rsidRPr="00D727B4" w:rsidRDefault="00916D37" w:rsidP="00916D37">
            <w:pPr>
              <w:spacing w:after="0"/>
              <w:jc w:val="center"/>
              <w:rPr>
                <w:rFonts w:cs="Arial"/>
                <w:b/>
                <w:sz w:val="18"/>
                <w:szCs w:val="18"/>
              </w:rPr>
            </w:pPr>
            <w:r w:rsidRPr="00D727B4">
              <w:rPr>
                <w:rFonts w:cs="Arial"/>
                <w:b/>
                <w:sz w:val="18"/>
                <w:szCs w:val="18"/>
              </w:rPr>
              <w:t>Microtubule inhibitors</w:t>
            </w:r>
          </w:p>
        </w:tc>
        <w:tc>
          <w:tcPr>
            <w:tcW w:w="1701" w:type="dxa"/>
            <w:gridSpan w:val="3"/>
            <w:tcBorders>
              <w:top w:val="double" w:sz="4" w:space="0" w:color="auto"/>
              <w:bottom w:val="double" w:sz="4" w:space="0" w:color="auto"/>
            </w:tcBorders>
            <w:shd w:val="clear" w:color="auto" w:fill="BFBFBF" w:themeFill="background1" w:themeFillShade="BF"/>
            <w:vAlign w:val="center"/>
          </w:tcPr>
          <w:p w:rsidR="00916D37" w:rsidRPr="00D727B4" w:rsidRDefault="00916D37" w:rsidP="00916D37">
            <w:pPr>
              <w:spacing w:after="0"/>
              <w:jc w:val="center"/>
              <w:rPr>
                <w:rFonts w:cs="Arial"/>
                <w:b/>
                <w:sz w:val="18"/>
                <w:szCs w:val="18"/>
              </w:rPr>
            </w:pPr>
            <w:r w:rsidRPr="00D727B4">
              <w:rPr>
                <w:rFonts w:cs="Arial"/>
                <w:b/>
                <w:sz w:val="18"/>
                <w:szCs w:val="18"/>
              </w:rPr>
              <w:t>Monoclonal antibodies</w:t>
            </w:r>
          </w:p>
        </w:tc>
        <w:tc>
          <w:tcPr>
            <w:tcW w:w="1134" w:type="dxa"/>
            <w:gridSpan w:val="2"/>
            <w:tcBorders>
              <w:top w:val="double" w:sz="4" w:space="0" w:color="auto"/>
              <w:bottom w:val="double" w:sz="4" w:space="0" w:color="auto"/>
              <w:right w:val="double" w:sz="4" w:space="0" w:color="auto"/>
            </w:tcBorders>
            <w:shd w:val="clear" w:color="auto" w:fill="BFBFBF" w:themeFill="background1" w:themeFillShade="BF"/>
            <w:vAlign w:val="center"/>
          </w:tcPr>
          <w:p w:rsidR="00916D37" w:rsidRPr="00D727B4" w:rsidRDefault="00916D37" w:rsidP="00916D37">
            <w:pPr>
              <w:spacing w:after="0"/>
              <w:jc w:val="center"/>
              <w:rPr>
                <w:rFonts w:cs="Arial"/>
                <w:b/>
                <w:sz w:val="18"/>
                <w:szCs w:val="18"/>
              </w:rPr>
            </w:pPr>
            <w:proofErr w:type="spellStart"/>
            <w:r w:rsidRPr="00D727B4">
              <w:rPr>
                <w:rFonts w:cs="Arial"/>
                <w:b/>
                <w:sz w:val="18"/>
                <w:szCs w:val="18"/>
              </w:rPr>
              <w:t>TyR</w:t>
            </w:r>
            <w:proofErr w:type="spellEnd"/>
            <w:r w:rsidRPr="00D727B4">
              <w:rPr>
                <w:rFonts w:cs="Arial"/>
                <w:b/>
                <w:sz w:val="18"/>
                <w:szCs w:val="18"/>
              </w:rPr>
              <w:t xml:space="preserve"> kinase inhibitors</w:t>
            </w:r>
          </w:p>
        </w:tc>
      </w:tr>
      <w:tr w:rsidR="00916D37" w:rsidRPr="00D727B4" w:rsidTr="00916D37">
        <w:trPr>
          <w:trHeight w:val="397"/>
        </w:trPr>
        <w:tc>
          <w:tcPr>
            <w:tcW w:w="2549" w:type="dxa"/>
            <w:gridSpan w:val="2"/>
            <w:tcBorders>
              <w:top w:val="double" w:sz="4" w:space="0" w:color="auto"/>
              <w:left w:val="double" w:sz="4" w:space="0" w:color="auto"/>
              <w:right w:val="double" w:sz="4" w:space="0" w:color="auto"/>
            </w:tcBorders>
            <w:shd w:val="clear" w:color="auto" w:fill="D9D9D9" w:themeFill="background1" w:themeFillShade="D9"/>
            <w:vAlign w:val="center"/>
          </w:tcPr>
          <w:p w:rsidR="00916D37" w:rsidRPr="00DD051F" w:rsidRDefault="00916D37" w:rsidP="00916D37">
            <w:pPr>
              <w:spacing w:after="0"/>
              <w:jc w:val="center"/>
              <w:rPr>
                <w:rFonts w:cs="Arial"/>
                <w:b/>
                <w:sz w:val="24"/>
                <w:szCs w:val="24"/>
              </w:rPr>
            </w:pPr>
            <w:r w:rsidRPr="00DD051F">
              <w:rPr>
                <w:rFonts w:cs="Arial"/>
                <w:b/>
                <w:sz w:val="24"/>
                <w:szCs w:val="24"/>
              </w:rPr>
              <w:t>Type of cancer</w:t>
            </w:r>
          </w:p>
        </w:tc>
        <w:tc>
          <w:tcPr>
            <w:tcW w:w="519" w:type="dxa"/>
            <w:tcBorders>
              <w:top w:val="double" w:sz="4" w:space="0" w:color="auto"/>
              <w:left w:val="double" w:sz="4" w:space="0" w:color="auto"/>
              <w:righ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1a</w:t>
            </w:r>
          </w:p>
        </w:tc>
        <w:tc>
          <w:tcPr>
            <w:tcW w:w="521" w:type="dxa"/>
            <w:tcBorders>
              <w:top w:val="double" w:sz="4" w:space="0" w:color="auto"/>
              <w:left w:val="dotted" w:sz="4" w:space="0" w:color="auto"/>
              <w:righ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1b</w:t>
            </w:r>
          </w:p>
        </w:tc>
        <w:tc>
          <w:tcPr>
            <w:tcW w:w="515" w:type="dxa"/>
            <w:tcBorders>
              <w:top w:val="double" w:sz="4" w:space="0" w:color="auto"/>
              <w:left w:val="dotted" w:sz="4" w:space="0" w:color="auto"/>
              <w:righ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1c</w:t>
            </w:r>
          </w:p>
        </w:tc>
        <w:tc>
          <w:tcPr>
            <w:tcW w:w="521" w:type="dxa"/>
            <w:tcBorders>
              <w:top w:val="double" w:sz="4" w:space="0" w:color="auto"/>
              <w:left w:val="dotted" w:sz="4" w:space="0" w:color="auto"/>
              <w:righ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1d</w:t>
            </w:r>
          </w:p>
        </w:tc>
        <w:tc>
          <w:tcPr>
            <w:tcW w:w="521" w:type="dxa"/>
            <w:tcBorders>
              <w:top w:val="double" w:sz="4" w:space="0" w:color="auto"/>
              <w:lef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1e</w:t>
            </w:r>
          </w:p>
        </w:tc>
        <w:tc>
          <w:tcPr>
            <w:tcW w:w="525" w:type="dxa"/>
            <w:tcBorders>
              <w:top w:val="double" w:sz="4" w:space="0" w:color="auto"/>
              <w:bottom w:val="single"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Pr>
                <w:rFonts w:cs="Arial"/>
                <w:b/>
                <w:sz w:val="16"/>
                <w:szCs w:val="16"/>
              </w:rPr>
              <w:t>2a</w:t>
            </w:r>
          </w:p>
        </w:tc>
        <w:tc>
          <w:tcPr>
            <w:tcW w:w="567" w:type="dxa"/>
            <w:tcBorders>
              <w:top w:val="double" w:sz="4" w:space="0" w:color="auto"/>
              <w:bottom w:val="single" w:sz="4" w:space="0" w:color="auto"/>
              <w:righ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2</w:t>
            </w:r>
            <w:r>
              <w:rPr>
                <w:rFonts w:cs="Arial"/>
                <w:b/>
                <w:sz w:val="16"/>
                <w:szCs w:val="16"/>
              </w:rPr>
              <w:t>b</w:t>
            </w:r>
          </w:p>
        </w:tc>
        <w:tc>
          <w:tcPr>
            <w:tcW w:w="709" w:type="dxa"/>
            <w:tcBorders>
              <w:top w:val="double" w:sz="4" w:space="0" w:color="auto"/>
              <w:left w:val="dotted" w:sz="4" w:space="0" w:color="auto"/>
              <w:righ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3a</w:t>
            </w:r>
          </w:p>
        </w:tc>
        <w:tc>
          <w:tcPr>
            <w:tcW w:w="709" w:type="dxa"/>
            <w:tcBorders>
              <w:top w:val="double" w:sz="4" w:space="0" w:color="auto"/>
              <w:lef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3b</w:t>
            </w:r>
          </w:p>
        </w:tc>
        <w:tc>
          <w:tcPr>
            <w:tcW w:w="567" w:type="dxa"/>
            <w:tcBorders>
              <w:top w:val="double" w:sz="4" w:space="0" w:color="auto"/>
              <w:righ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4a</w:t>
            </w:r>
          </w:p>
        </w:tc>
        <w:tc>
          <w:tcPr>
            <w:tcW w:w="567" w:type="dxa"/>
            <w:tcBorders>
              <w:top w:val="double" w:sz="4" w:space="0" w:color="auto"/>
              <w:lef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4b</w:t>
            </w:r>
          </w:p>
        </w:tc>
        <w:tc>
          <w:tcPr>
            <w:tcW w:w="1134" w:type="dxa"/>
            <w:tcBorders>
              <w:top w:val="double"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5a</w:t>
            </w:r>
          </w:p>
        </w:tc>
        <w:tc>
          <w:tcPr>
            <w:tcW w:w="708" w:type="dxa"/>
            <w:tcBorders>
              <w:top w:val="double" w:sz="4" w:space="0" w:color="auto"/>
              <w:righ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6a</w:t>
            </w:r>
          </w:p>
        </w:tc>
        <w:tc>
          <w:tcPr>
            <w:tcW w:w="709" w:type="dxa"/>
            <w:tcBorders>
              <w:top w:val="double" w:sz="4" w:space="0" w:color="auto"/>
              <w:lef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6b</w:t>
            </w:r>
          </w:p>
        </w:tc>
        <w:tc>
          <w:tcPr>
            <w:tcW w:w="567" w:type="dxa"/>
            <w:tcBorders>
              <w:top w:val="double" w:sz="4" w:space="0" w:color="auto"/>
              <w:righ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7a</w:t>
            </w:r>
          </w:p>
        </w:tc>
        <w:tc>
          <w:tcPr>
            <w:tcW w:w="567" w:type="dxa"/>
            <w:tcBorders>
              <w:top w:val="double" w:sz="4" w:space="0" w:color="auto"/>
              <w:left w:val="dotted" w:sz="4" w:space="0" w:color="auto"/>
              <w:right w:val="dotted"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7b</w:t>
            </w:r>
          </w:p>
        </w:tc>
        <w:tc>
          <w:tcPr>
            <w:tcW w:w="567" w:type="dxa"/>
            <w:tcBorders>
              <w:top w:val="double" w:sz="4" w:space="0" w:color="auto"/>
              <w:left w:val="dotted" w:sz="4" w:space="0" w:color="auto"/>
              <w:bottom w:val="single"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sidRPr="007C1191">
              <w:rPr>
                <w:rFonts w:cs="Arial"/>
                <w:b/>
                <w:sz w:val="16"/>
                <w:szCs w:val="16"/>
              </w:rPr>
              <w:t>7c</w:t>
            </w:r>
          </w:p>
        </w:tc>
        <w:tc>
          <w:tcPr>
            <w:tcW w:w="567" w:type="dxa"/>
            <w:tcBorders>
              <w:top w:val="double" w:sz="4" w:space="0" w:color="auto"/>
              <w:right w:val="dotted" w:sz="4" w:space="0" w:color="auto"/>
            </w:tcBorders>
            <w:shd w:val="clear" w:color="auto" w:fill="D9D9D9" w:themeFill="background1" w:themeFillShade="D9"/>
            <w:vAlign w:val="center"/>
          </w:tcPr>
          <w:p w:rsidR="00916D37" w:rsidRPr="00DD051F" w:rsidRDefault="00916D37" w:rsidP="00916D37">
            <w:pPr>
              <w:spacing w:after="0"/>
              <w:jc w:val="center"/>
              <w:rPr>
                <w:rFonts w:cs="Arial"/>
                <w:b/>
              </w:rPr>
            </w:pPr>
            <w:r w:rsidRPr="007C1191">
              <w:rPr>
                <w:rFonts w:cs="Arial"/>
                <w:b/>
                <w:sz w:val="16"/>
                <w:szCs w:val="16"/>
              </w:rPr>
              <w:t>8a</w:t>
            </w:r>
          </w:p>
        </w:tc>
        <w:tc>
          <w:tcPr>
            <w:tcW w:w="567" w:type="dxa"/>
            <w:tcBorders>
              <w:top w:val="double" w:sz="4" w:space="0" w:color="auto"/>
              <w:left w:val="dotted" w:sz="4" w:space="0" w:color="auto"/>
              <w:right w:val="double" w:sz="4" w:space="0" w:color="auto"/>
            </w:tcBorders>
            <w:shd w:val="clear" w:color="auto" w:fill="D9D9D9" w:themeFill="background1" w:themeFillShade="D9"/>
            <w:vAlign w:val="center"/>
          </w:tcPr>
          <w:p w:rsidR="00916D37" w:rsidRPr="007C1191" w:rsidRDefault="00916D37" w:rsidP="00916D37">
            <w:pPr>
              <w:spacing w:after="0"/>
              <w:jc w:val="center"/>
              <w:rPr>
                <w:rFonts w:cs="Arial"/>
                <w:b/>
                <w:sz w:val="16"/>
                <w:szCs w:val="16"/>
              </w:rPr>
            </w:pPr>
            <w:r>
              <w:rPr>
                <w:rFonts w:cs="Arial"/>
                <w:b/>
                <w:sz w:val="16"/>
                <w:szCs w:val="16"/>
              </w:rPr>
              <w:t>8b</w:t>
            </w:r>
          </w:p>
        </w:tc>
      </w:tr>
      <w:tr w:rsidR="00916D37" w:rsidRPr="00D727B4" w:rsidTr="00916D37">
        <w:trPr>
          <w:trHeight w:val="283"/>
        </w:trPr>
        <w:tc>
          <w:tcPr>
            <w:tcW w:w="1168" w:type="dxa"/>
            <w:vMerge w:val="restart"/>
            <w:tcBorders>
              <w:left w:val="double" w:sz="4" w:space="0" w:color="auto"/>
            </w:tcBorders>
            <w:shd w:val="clear" w:color="auto" w:fill="FFFFFF" w:themeFill="background1"/>
            <w:vAlign w:val="center"/>
          </w:tcPr>
          <w:p w:rsidR="00916D37" w:rsidRPr="00D727B4" w:rsidRDefault="00916D37" w:rsidP="00916D37">
            <w:pPr>
              <w:spacing w:after="0"/>
              <w:jc w:val="center"/>
              <w:rPr>
                <w:rFonts w:cs="Arial"/>
                <w:b/>
                <w:caps/>
                <w:sz w:val="16"/>
                <w:szCs w:val="16"/>
              </w:rPr>
            </w:pPr>
            <w:r w:rsidRPr="00D727B4">
              <w:rPr>
                <w:rFonts w:cs="Arial"/>
                <w:b/>
                <w:caps/>
                <w:sz w:val="16"/>
                <w:szCs w:val="16"/>
              </w:rPr>
              <w:t>Digestive</w:t>
            </w:r>
          </w:p>
        </w:tc>
        <w:tc>
          <w:tcPr>
            <w:tcW w:w="1381" w:type="dxa"/>
            <w:tcBorders>
              <w:bottom w:val="dotted" w:sz="4" w:space="0" w:color="auto"/>
              <w:right w:val="double" w:sz="4" w:space="0" w:color="auto"/>
            </w:tcBorders>
            <w:shd w:val="clear" w:color="auto" w:fill="FFFFFF" w:themeFill="background1"/>
            <w:vAlign w:val="center"/>
          </w:tcPr>
          <w:p w:rsidR="00916D37" w:rsidRPr="00D727B4" w:rsidRDefault="00916D37" w:rsidP="00916D37">
            <w:pPr>
              <w:spacing w:after="0"/>
              <w:jc w:val="center"/>
              <w:rPr>
                <w:rFonts w:cs="Arial"/>
                <w:b/>
                <w:caps/>
                <w:sz w:val="16"/>
                <w:szCs w:val="16"/>
              </w:rPr>
            </w:pPr>
            <w:r w:rsidRPr="00D727B4">
              <w:rPr>
                <w:rFonts w:cs="Arial"/>
                <w:b/>
                <w:caps/>
                <w:sz w:val="16"/>
                <w:szCs w:val="16"/>
              </w:rPr>
              <w:t>Colorectal</w:t>
            </w:r>
          </w:p>
        </w:tc>
        <w:tc>
          <w:tcPr>
            <w:tcW w:w="519" w:type="dxa"/>
            <w:tcBorders>
              <w:left w:val="double"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15" w:type="dxa"/>
            <w:tcBorders>
              <w:left w:val="dotted" w:sz="4" w:space="0" w:color="auto"/>
              <w:right w:val="dotted" w:sz="4" w:space="0" w:color="auto"/>
            </w:tcBorders>
            <w:shd w:val="clear" w:color="auto" w:fill="FFFFFF" w:themeFill="background1"/>
            <w:vAlign w:val="center"/>
          </w:tcPr>
          <w:p w:rsidR="00916D37" w:rsidRPr="00DD051F" w:rsidRDefault="00916D37" w:rsidP="003C1540">
            <w:pPr>
              <w:spacing w:after="0"/>
              <w:jc w:val="center"/>
              <w:rPr>
                <w:rFonts w:cs="Arial"/>
                <w:b/>
              </w:rPr>
            </w:pPr>
            <w:r w:rsidRPr="00DD051F">
              <w:rPr>
                <w:rFonts w:cs="Arial"/>
                <w:b/>
              </w:rPr>
              <w:t>X</w:t>
            </w:r>
          </w:p>
        </w:tc>
        <w:tc>
          <w:tcPr>
            <w:tcW w:w="521"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5" w:type="dxa"/>
            <w:tcBorders>
              <w:right w:val="dotted" w:sz="4" w:space="0" w:color="auto"/>
            </w:tcBorders>
            <w:shd w:val="clear" w:color="auto" w:fill="FFFFFF" w:themeFill="background1"/>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1134" w:type="dxa"/>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708"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right w:val="double" w:sz="4" w:space="0" w:color="auto"/>
            </w:tcBorders>
            <w:shd w:val="clear" w:color="auto" w:fill="FFFFFF" w:themeFill="background1"/>
            <w:vAlign w:val="center"/>
          </w:tcPr>
          <w:p w:rsidR="00916D37" w:rsidRPr="00DD051F" w:rsidRDefault="00916D37" w:rsidP="00916D37">
            <w:pPr>
              <w:spacing w:after="0"/>
              <w:jc w:val="center"/>
              <w:rPr>
                <w:rFonts w:cs="Arial"/>
                <w:b/>
              </w:rPr>
            </w:pPr>
          </w:p>
        </w:tc>
      </w:tr>
      <w:tr w:rsidR="00916D37" w:rsidRPr="00D727B4" w:rsidTr="00916D37">
        <w:trPr>
          <w:trHeight w:val="283"/>
        </w:trPr>
        <w:tc>
          <w:tcPr>
            <w:tcW w:w="1168" w:type="dxa"/>
            <w:vMerge/>
            <w:tcBorders>
              <w:left w:val="double" w:sz="4" w:space="0" w:color="auto"/>
            </w:tcBorders>
            <w:shd w:val="clear" w:color="auto" w:fill="FFFFFF" w:themeFill="background1"/>
            <w:vAlign w:val="center"/>
          </w:tcPr>
          <w:p w:rsidR="00916D37" w:rsidRPr="00D727B4" w:rsidRDefault="00916D37" w:rsidP="00916D37">
            <w:pPr>
              <w:spacing w:after="0"/>
              <w:jc w:val="center"/>
              <w:rPr>
                <w:rFonts w:cs="Arial"/>
                <w:b/>
                <w:caps/>
                <w:sz w:val="16"/>
                <w:szCs w:val="16"/>
              </w:rPr>
            </w:pPr>
          </w:p>
        </w:tc>
        <w:tc>
          <w:tcPr>
            <w:tcW w:w="1381" w:type="dxa"/>
            <w:tcBorders>
              <w:top w:val="dotted" w:sz="4" w:space="0" w:color="auto"/>
              <w:right w:val="double" w:sz="4" w:space="0" w:color="auto"/>
            </w:tcBorders>
            <w:shd w:val="clear" w:color="auto" w:fill="FFFFFF" w:themeFill="background1"/>
            <w:vAlign w:val="center"/>
          </w:tcPr>
          <w:p w:rsidR="00916D37" w:rsidRPr="00D727B4" w:rsidRDefault="00916D37" w:rsidP="00916D37">
            <w:pPr>
              <w:spacing w:after="0"/>
              <w:jc w:val="center"/>
              <w:rPr>
                <w:rFonts w:cs="Arial"/>
                <w:b/>
                <w:caps/>
                <w:sz w:val="16"/>
                <w:szCs w:val="16"/>
              </w:rPr>
            </w:pPr>
            <w:r w:rsidRPr="00D727B4">
              <w:rPr>
                <w:rFonts w:cs="Arial"/>
                <w:b/>
                <w:caps/>
                <w:sz w:val="16"/>
                <w:szCs w:val="16"/>
              </w:rPr>
              <w:t>Pancreatic</w:t>
            </w:r>
          </w:p>
        </w:tc>
        <w:tc>
          <w:tcPr>
            <w:tcW w:w="519" w:type="dxa"/>
            <w:tcBorders>
              <w:left w:val="double"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15"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525" w:type="dxa"/>
            <w:tcBorders>
              <w:right w:val="dotted" w:sz="4" w:space="0" w:color="auto"/>
            </w:tcBorders>
            <w:shd w:val="clear" w:color="auto" w:fill="FFFFFF" w:themeFill="background1"/>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1134" w:type="dxa"/>
            <w:shd w:val="clear" w:color="auto" w:fill="FFFFFF" w:themeFill="background1"/>
            <w:vAlign w:val="center"/>
          </w:tcPr>
          <w:p w:rsidR="00916D37" w:rsidRPr="00DD051F" w:rsidRDefault="00916D37" w:rsidP="00916D37">
            <w:pPr>
              <w:spacing w:after="0"/>
              <w:jc w:val="center"/>
              <w:rPr>
                <w:rFonts w:cs="Arial"/>
                <w:b/>
              </w:rPr>
            </w:pPr>
          </w:p>
        </w:tc>
        <w:tc>
          <w:tcPr>
            <w:tcW w:w="708"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Pr>
                <w:rFonts w:cs="Arial"/>
                <w:b/>
              </w:rPr>
              <w:t>X</w:t>
            </w:r>
          </w:p>
        </w:tc>
        <w:tc>
          <w:tcPr>
            <w:tcW w:w="567" w:type="dxa"/>
            <w:tcBorders>
              <w:left w:val="dotted" w:sz="4" w:space="0" w:color="auto"/>
              <w:right w:val="double" w:sz="4" w:space="0" w:color="auto"/>
            </w:tcBorders>
            <w:shd w:val="clear" w:color="auto" w:fill="FFFFFF" w:themeFill="background1"/>
            <w:vAlign w:val="center"/>
          </w:tcPr>
          <w:p w:rsidR="00916D37" w:rsidRPr="00DD051F" w:rsidRDefault="00916D37" w:rsidP="00916D37">
            <w:pPr>
              <w:spacing w:after="0"/>
              <w:jc w:val="center"/>
              <w:rPr>
                <w:rFonts w:cs="Arial"/>
                <w:b/>
              </w:rPr>
            </w:pPr>
          </w:p>
        </w:tc>
      </w:tr>
      <w:tr w:rsidR="00916D37" w:rsidRPr="00D727B4" w:rsidTr="00916D37">
        <w:trPr>
          <w:trHeight w:val="283"/>
        </w:trPr>
        <w:tc>
          <w:tcPr>
            <w:tcW w:w="2549" w:type="dxa"/>
            <w:gridSpan w:val="2"/>
            <w:tcBorders>
              <w:left w:val="double" w:sz="4" w:space="0" w:color="auto"/>
              <w:right w:val="double" w:sz="4" w:space="0" w:color="auto"/>
            </w:tcBorders>
            <w:shd w:val="clear" w:color="auto" w:fill="FFFFFF" w:themeFill="background1"/>
            <w:vAlign w:val="center"/>
          </w:tcPr>
          <w:p w:rsidR="00916D37" w:rsidRPr="00D727B4" w:rsidRDefault="00916D37" w:rsidP="00916D37">
            <w:pPr>
              <w:spacing w:after="0"/>
              <w:jc w:val="center"/>
              <w:rPr>
                <w:rFonts w:cs="Arial"/>
                <w:b/>
                <w:caps/>
                <w:sz w:val="16"/>
                <w:szCs w:val="16"/>
              </w:rPr>
            </w:pPr>
            <w:r w:rsidRPr="00D727B4">
              <w:rPr>
                <w:rFonts w:cs="Arial"/>
                <w:b/>
                <w:caps/>
                <w:sz w:val="16"/>
                <w:szCs w:val="16"/>
              </w:rPr>
              <w:t>Lung &amp; Bronchi</w:t>
            </w:r>
          </w:p>
        </w:tc>
        <w:tc>
          <w:tcPr>
            <w:tcW w:w="519" w:type="dxa"/>
            <w:tcBorders>
              <w:left w:val="double"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15"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525" w:type="dxa"/>
            <w:tcBorders>
              <w:right w:val="dotted" w:sz="4" w:space="0" w:color="auto"/>
            </w:tcBorders>
            <w:shd w:val="clear" w:color="auto" w:fill="FFFFFF" w:themeFill="background1"/>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709"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1134" w:type="dxa"/>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708"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709"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567" w:type="dxa"/>
            <w:tcBorders>
              <w:left w:val="dotted" w:sz="4" w:space="0" w:color="auto"/>
              <w:right w:val="double" w:sz="4" w:space="0" w:color="auto"/>
            </w:tcBorders>
            <w:shd w:val="clear" w:color="auto" w:fill="FFFFFF" w:themeFill="background1"/>
            <w:vAlign w:val="center"/>
          </w:tcPr>
          <w:p w:rsidR="00916D37" w:rsidRPr="00DD051F" w:rsidRDefault="00916D37" w:rsidP="00916D37">
            <w:pPr>
              <w:spacing w:after="0"/>
              <w:jc w:val="center"/>
              <w:rPr>
                <w:rFonts w:cs="Arial"/>
                <w:b/>
              </w:rPr>
            </w:pPr>
          </w:p>
        </w:tc>
      </w:tr>
      <w:tr w:rsidR="00916D37" w:rsidRPr="00D727B4" w:rsidTr="00916D37">
        <w:trPr>
          <w:trHeight w:val="283"/>
        </w:trPr>
        <w:tc>
          <w:tcPr>
            <w:tcW w:w="2549" w:type="dxa"/>
            <w:gridSpan w:val="2"/>
            <w:tcBorders>
              <w:left w:val="double" w:sz="4" w:space="0" w:color="auto"/>
              <w:right w:val="double" w:sz="4" w:space="0" w:color="auto"/>
            </w:tcBorders>
            <w:shd w:val="clear" w:color="auto" w:fill="FFFFFF" w:themeFill="background1"/>
            <w:vAlign w:val="center"/>
          </w:tcPr>
          <w:p w:rsidR="00916D37" w:rsidRPr="00D727B4" w:rsidRDefault="00916D37" w:rsidP="00916D37">
            <w:pPr>
              <w:spacing w:after="0"/>
              <w:jc w:val="center"/>
              <w:rPr>
                <w:rFonts w:cs="Arial"/>
                <w:b/>
                <w:caps/>
                <w:sz w:val="16"/>
                <w:szCs w:val="16"/>
              </w:rPr>
            </w:pPr>
            <w:r w:rsidRPr="00D727B4">
              <w:rPr>
                <w:rFonts w:cs="Arial"/>
                <w:b/>
                <w:caps/>
                <w:sz w:val="16"/>
                <w:szCs w:val="16"/>
              </w:rPr>
              <w:t>Breast</w:t>
            </w:r>
          </w:p>
        </w:tc>
        <w:tc>
          <w:tcPr>
            <w:tcW w:w="519" w:type="dxa"/>
            <w:tcBorders>
              <w:left w:val="double"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15"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521"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Pr>
                <w:rFonts w:cs="Arial"/>
                <w:b/>
              </w:rPr>
              <w:t>X</w:t>
            </w:r>
          </w:p>
        </w:tc>
        <w:tc>
          <w:tcPr>
            <w:tcW w:w="525" w:type="dxa"/>
            <w:tcBorders>
              <w:right w:val="dotted" w:sz="4" w:space="0" w:color="auto"/>
            </w:tcBorders>
            <w:shd w:val="clear" w:color="auto" w:fill="FFFFFF" w:themeFill="background1"/>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709"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1134" w:type="dxa"/>
            <w:shd w:val="clear" w:color="auto" w:fill="FFFFFF" w:themeFill="background1"/>
            <w:vAlign w:val="center"/>
          </w:tcPr>
          <w:p w:rsidR="00916D37" w:rsidRPr="00DD051F" w:rsidRDefault="00916D37" w:rsidP="00916D37">
            <w:pPr>
              <w:spacing w:after="0"/>
              <w:jc w:val="center"/>
              <w:rPr>
                <w:rFonts w:cs="Arial"/>
                <w:b/>
              </w:rPr>
            </w:pPr>
          </w:p>
        </w:tc>
        <w:tc>
          <w:tcPr>
            <w:tcW w:w="708"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709"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567"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right w:val="double" w:sz="4" w:space="0" w:color="auto"/>
            </w:tcBorders>
            <w:shd w:val="clear" w:color="auto" w:fill="FFFFFF" w:themeFill="background1"/>
            <w:vAlign w:val="center"/>
          </w:tcPr>
          <w:p w:rsidR="00916D37" w:rsidRPr="00DD051F" w:rsidRDefault="00916D37" w:rsidP="00916D37">
            <w:pPr>
              <w:spacing w:after="0"/>
              <w:jc w:val="center"/>
              <w:rPr>
                <w:rFonts w:cs="Arial"/>
                <w:b/>
              </w:rPr>
            </w:pPr>
          </w:p>
        </w:tc>
      </w:tr>
      <w:tr w:rsidR="00916D37" w:rsidRPr="00D727B4" w:rsidTr="00916D37">
        <w:trPr>
          <w:trHeight w:val="283"/>
        </w:trPr>
        <w:tc>
          <w:tcPr>
            <w:tcW w:w="1168" w:type="dxa"/>
            <w:vMerge w:val="restart"/>
            <w:tcBorders>
              <w:left w:val="double" w:sz="4" w:space="0" w:color="auto"/>
            </w:tcBorders>
            <w:shd w:val="clear" w:color="auto" w:fill="FFFFFF" w:themeFill="background1"/>
            <w:vAlign w:val="center"/>
          </w:tcPr>
          <w:p w:rsidR="00916D37" w:rsidRPr="00D727B4" w:rsidRDefault="00916D37" w:rsidP="00916D37">
            <w:pPr>
              <w:spacing w:after="0"/>
              <w:jc w:val="center"/>
              <w:rPr>
                <w:rFonts w:cs="Arial"/>
                <w:b/>
                <w:caps/>
                <w:sz w:val="16"/>
                <w:szCs w:val="16"/>
              </w:rPr>
            </w:pPr>
            <w:r w:rsidRPr="00D727B4">
              <w:rPr>
                <w:rFonts w:cs="Arial"/>
                <w:b/>
                <w:caps/>
                <w:sz w:val="16"/>
                <w:szCs w:val="16"/>
              </w:rPr>
              <w:t>Urinary</w:t>
            </w:r>
          </w:p>
        </w:tc>
        <w:tc>
          <w:tcPr>
            <w:tcW w:w="1381" w:type="dxa"/>
            <w:tcBorders>
              <w:bottom w:val="dotted" w:sz="4" w:space="0" w:color="auto"/>
              <w:right w:val="double" w:sz="4" w:space="0" w:color="auto"/>
            </w:tcBorders>
            <w:shd w:val="clear" w:color="auto" w:fill="FFFFFF" w:themeFill="background1"/>
            <w:vAlign w:val="center"/>
          </w:tcPr>
          <w:p w:rsidR="00916D37" w:rsidRPr="00D727B4" w:rsidRDefault="00916D37" w:rsidP="00916D37">
            <w:pPr>
              <w:spacing w:after="0"/>
              <w:jc w:val="center"/>
              <w:rPr>
                <w:rFonts w:cs="Arial"/>
                <w:b/>
                <w:caps/>
                <w:sz w:val="16"/>
                <w:szCs w:val="16"/>
              </w:rPr>
            </w:pPr>
            <w:r w:rsidRPr="00D727B4">
              <w:rPr>
                <w:rFonts w:cs="Arial"/>
                <w:b/>
                <w:caps/>
                <w:sz w:val="16"/>
                <w:szCs w:val="16"/>
              </w:rPr>
              <w:t>Kidney</w:t>
            </w:r>
          </w:p>
        </w:tc>
        <w:tc>
          <w:tcPr>
            <w:tcW w:w="519" w:type="dxa"/>
            <w:tcBorders>
              <w:left w:val="double"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15"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5" w:type="dxa"/>
            <w:tcBorders>
              <w:right w:val="dotted" w:sz="4" w:space="0" w:color="auto"/>
            </w:tcBorders>
            <w:shd w:val="clear" w:color="auto" w:fill="FFFFFF" w:themeFill="background1"/>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1134" w:type="dxa"/>
            <w:shd w:val="clear" w:color="auto" w:fill="FFFFFF" w:themeFill="background1"/>
            <w:vAlign w:val="center"/>
          </w:tcPr>
          <w:p w:rsidR="00916D37" w:rsidRPr="00DD051F" w:rsidRDefault="00916D37" w:rsidP="00916D37">
            <w:pPr>
              <w:spacing w:after="0"/>
              <w:jc w:val="center"/>
              <w:rPr>
                <w:rFonts w:cs="Arial"/>
                <w:b/>
              </w:rPr>
            </w:pPr>
          </w:p>
        </w:tc>
        <w:tc>
          <w:tcPr>
            <w:tcW w:w="708"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right w:val="double" w:sz="4" w:space="0" w:color="auto"/>
            </w:tcBorders>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r>
      <w:tr w:rsidR="00916D37" w:rsidRPr="00D727B4" w:rsidTr="00916D37">
        <w:trPr>
          <w:trHeight w:val="283"/>
        </w:trPr>
        <w:tc>
          <w:tcPr>
            <w:tcW w:w="1168" w:type="dxa"/>
            <w:vMerge/>
            <w:tcBorders>
              <w:left w:val="double" w:sz="4" w:space="0" w:color="auto"/>
            </w:tcBorders>
            <w:shd w:val="clear" w:color="auto" w:fill="FFFFFF" w:themeFill="background1"/>
            <w:vAlign w:val="center"/>
          </w:tcPr>
          <w:p w:rsidR="00916D37" w:rsidRPr="00D727B4" w:rsidRDefault="00916D37" w:rsidP="00916D37">
            <w:pPr>
              <w:spacing w:after="0"/>
              <w:jc w:val="center"/>
              <w:rPr>
                <w:rFonts w:cs="Arial"/>
                <w:b/>
                <w:caps/>
                <w:sz w:val="16"/>
                <w:szCs w:val="16"/>
              </w:rPr>
            </w:pPr>
          </w:p>
        </w:tc>
        <w:tc>
          <w:tcPr>
            <w:tcW w:w="1381" w:type="dxa"/>
            <w:tcBorders>
              <w:top w:val="dotted" w:sz="4" w:space="0" w:color="auto"/>
              <w:right w:val="double" w:sz="4" w:space="0" w:color="auto"/>
            </w:tcBorders>
            <w:shd w:val="clear" w:color="auto" w:fill="FFFFFF" w:themeFill="background1"/>
            <w:vAlign w:val="center"/>
          </w:tcPr>
          <w:p w:rsidR="00916D37" w:rsidRPr="00D727B4" w:rsidRDefault="00916D37" w:rsidP="00916D37">
            <w:pPr>
              <w:spacing w:after="0"/>
              <w:jc w:val="center"/>
              <w:rPr>
                <w:rFonts w:cs="Arial"/>
                <w:b/>
                <w:caps/>
                <w:sz w:val="16"/>
                <w:szCs w:val="16"/>
              </w:rPr>
            </w:pPr>
            <w:r w:rsidRPr="00D727B4">
              <w:rPr>
                <w:rFonts w:cs="Arial"/>
                <w:b/>
                <w:caps/>
                <w:sz w:val="16"/>
                <w:szCs w:val="16"/>
              </w:rPr>
              <w:t>Bladder</w:t>
            </w:r>
          </w:p>
        </w:tc>
        <w:tc>
          <w:tcPr>
            <w:tcW w:w="519" w:type="dxa"/>
            <w:tcBorders>
              <w:left w:val="double"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15"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21"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r>
              <w:rPr>
                <w:rFonts w:cs="Arial"/>
                <w:b/>
              </w:rPr>
              <w:t>X</w:t>
            </w:r>
          </w:p>
        </w:tc>
        <w:tc>
          <w:tcPr>
            <w:tcW w:w="525" w:type="dxa"/>
            <w:tcBorders>
              <w:right w:val="dotted" w:sz="4" w:space="0" w:color="auto"/>
            </w:tcBorders>
            <w:shd w:val="clear" w:color="auto" w:fill="FFFFFF" w:themeFill="background1"/>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1134" w:type="dxa"/>
            <w:shd w:val="clear" w:color="auto" w:fill="FFFFFF" w:themeFill="background1"/>
            <w:vAlign w:val="center"/>
          </w:tcPr>
          <w:p w:rsidR="00916D37" w:rsidRPr="00DD051F" w:rsidRDefault="00916D37" w:rsidP="00916D37">
            <w:pPr>
              <w:spacing w:after="0"/>
              <w:jc w:val="center"/>
              <w:rPr>
                <w:rFonts w:cs="Arial"/>
                <w:b/>
              </w:rPr>
            </w:pPr>
            <w:r w:rsidRPr="00DD051F">
              <w:rPr>
                <w:rFonts w:cs="Arial"/>
                <w:b/>
              </w:rPr>
              <w:t>X</w:t>
            </w:r>
          </w:p>
        </w:tc>
        <w:tc>
          <w:tcPr>
            <w:tcW w:w="708"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709"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FFFFFF" w:themeFill="background1"/>
            <w:vAlign w:val="center"/>
          </w:tcPr>
          <w:p w:rsidR="00916D37" w:rsidRPr="00DD051F" w:rsidRDefault="00916D37" w:rsidP="00916D37">
            <w:pPr>
              <w:spacing w:after="0"/>
              <w:jc w:val="center"/>
              <w:rPr>
                <w:rFonts w:cs="Arial"/>
                <w:b/>
              </w:rPr>
            </w:pPr>
          </w:p>
        </w:tc>
        <w:tc>
          <w:tcPr>
            <w:tcW w:w="567" w:type="dxa"/>
            <w:tcBorders>
              <w:left w:val="dotted" w:sz="4" w:space="0" w:color="auto"/>
              <w:right w:val="double" w:sz="4" w:space="0" w:color="auto"/>
            </w:tcBorders>
            <w:shd w:val="clear" w:color="auto" w:fill="FFFFFF" w:themeFill="background1"/>
            <w:vAlign w:val="center"/>
          </w:tcPr>
          <w:p w:rsidR="00916D37" w:rsidRPr="00DD051F" w:rsidRDefault="00916D37" w:rsidP="00916D37">
            <w:pPr>
              <w:spacing w:after="0"/>
              <w:jc w:val="center"/>
              <w:rPr>
                <w:rFonts w:cs="Arial"/>
                <w:b/>
              </w:rPr>
            </w:pPr>
          </w:p>
        </w:tc>
      </w:tr>
      <w:tr w:rsidR="00916D37" w:rsidRPr="00D727B4" w:rsidTr="00916D37">
        <w:trPr>
          <w:trHeight w:val="283"/>
        </w:trPr>
        <w:tc>
          <w:tcPr>
            <w:tcW w:w="2549" w:type="dxa"/>
            <w:gridSpan w:val="2"/>
            <w:tcBorders>
              <w:left w:val="double" w:sz="4" w:space="0" w:color="auto"/>
              <w:right w:val="double" w:sz="4" w:space="0" w:color="auto"/>
            </w:tcBorders>
            <w:shd w:val="clear" w:color="auto" w:fill="C6D9F1" w:themeFill="text2" w:themeFillTint="33"/>
            <w:vAlign w:val="center"/>
          </w:tcPr>
          <w:p w:rsidR="00916D37" w:rsidRPr="00D727B4" w:rsidRDefault="00916D37" w:rsidP="00916D37">
            <w:pPr>
              <w:spacing w:after="0"/>
              <w:jc w:val="center"/>
              <w:rPr>
                <w:rFonts w:cs="Arial"/>
                <w:b/>
                <w:caps/>
                <w:sz w:val="16"/>
                <w:szCs w:val="16"/>
              </w:rPr>
            </w:pPr>
            <w:r w:rsidRPr="00D727B4">
              <w:rPr>
                <w:rFonts w:cs="Arial"/>
                <w:b/>
                <w:caps/>
                <w:sz w:val="16"/>
                <w:szCs w:val="16"/>
              </w:rPr>
              <w:t>Melanoma</w:t>
            </w:r>
          </w:p>
        </w:tc>
        <w:tc>
          <w:tcPr>
            <w:tcW w:w="519" w:type="dxa"/>
            <w:tcBorders>
              <w:left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15"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521"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21"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25" w:type="dxa"/>
            <w:tcBorders>
              <w:right w:val="dotted" w:sz="4" w:space="0" w:color="auto"/>
            </w:tcBorders>
            <w:shd w:val="clear" w:color="auto" w:fill="C6D9F1" w:themeFill="text2" w:themeFillTint="33"/>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709"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709"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1134" w:type="dxa"/>
            <w:shd w:val="clear" w:color="auto" w:fill="C6D9F1" w:themeFill="text2" w:themeFillTint="33"/>
            <w:vAlign w:val="center"/>
          </w:tcPr>
          <w:p w:rsidR="00916D37" w:rsidRPr="00DD051F" w:rsidRDefault="00916D37" w:rsidP="00916D37">
            <w:pPr>
              <w:spacing w:after="0"/>
              <w:jc w:val="center"/>
              <w:rPr>
                <w:rFonts w:cs="Arial"/>
                <w:b/>
              </w:rPr>
            </w:pPr>
          </w:p>
        </w:tc>
        <w:tc>
          <w:tcPr>
            <w:tcW w:w="708" w:type="dxa"/>
            <w:tcBorders>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709"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left w:val="dotted" w:sz="4" w:space="0" w:color="auto"/>
              <w:right w:val="double"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r>
      <w:tr w:rsidR="00916D37" w:rsidRPr="00D727B4" w:rsidTr="00916D37">
        <w:trPr>
          <w:trHeight w:val="283"/>
        </w:trPr>
        <w:tc>
          <w:tcPr>
            <w:tcW w:w="1168" w:type="dxa"/>
            <w:vMerge w:val="restart"/>
            <w:tcBorders>
              <w:left w:val="double" w:sz="4" w:space="0" w:color="auto"/>
            </w:tcBorders>
            <w:shd w:val="clear" w:color="auto" w:fill="C6D9F1" w:themeFill="text2" w:themeFillTint="33"/>
            <w:vAlign w:val="center"/>
          </w:tcPr>
          <w:p w:rsidR="00916D37" w:rsidRPr="00D727B4" w:rsidRDefault="00916D37" w:rsidP="00916D37">
            <w:pPr>
              <w:spacing w:after="0"/>
              <w:jc w:val="center"/>
              <w:rPr>
                <w:rFonts w:cs="Arial"/>
                <w:b/>
                <w:caps/>
                <w:sz w:val="16"/>
                <w:szCs w:val="16"/>
              </w:rPr>
            </w:pPr>
            <w:r w:rsidRPr="00D727B4">
              <w:rPr>
                <w:rFonts w:cs="Arial"/>
                <w:b/>
                <w:caps/>
                <w:sz w:val="16"/>
                <w:szCs w:val="16"/>
              </w:rPr>
              <w:t>Leukaemia</w:t>
            </w:r>
          </w:p>
        </w:tc>
        <w:tc>
          <w:tcPr>
            <w:tcW w:w="1381" w:type="dxa"/>
            <w:tcBorders>
              <w:bottom w:val="dotted" w:sz="4" w:space="0" w:color="auto"/>
              <w:right w:val="double" w:sz="4" w:space="0" w:color="auto"/>
            </w:tcBorders>
            <w:shd w:val="clear" w:color="auto" w:fill="C6D9F1" w:themeFill="text2" w:themeFillTint="33"/>
            <w:vAlign w:val="center"/>
          </w:tcPr>
          <w:p w:rsidR="00916D37" w:rsidRPr="00D727B4" w:rsidRDefault="00916D37" w:rsidP="00916D37">
            <w:pPr>
              <w:spacing w:after="0"/>
              <w:jc w:val="center"/>
              <w:rPr>
                <w:rFonts w:cs="Arial"/>
                <w:b/>
                <w:caps/>
                <w:sz w:val="16"/>
                <w:szCs w:val="16"/>
              </w:rPr>
            </w:pPr>
            <w:r w:rsidRPr="00D727B4">
              <w:rPr>
                <w:rFonts w:cs="Arial"/>
                <w:b/>
                <w:caps/>
                <w:sz w:val="16"/>
                <w:szCs w:val="16"/>
              </w:rPr>
              <w:t>Lymphocytic</w:t>
            </w:r>
          </w:p>
        </w:tc>
        <w:tc>
          <w:tcPr>
            <w:tcW w:w="519" w:type="dxa"/>
            <w:tcBorders>
              <w:left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521"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515"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21"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25" w:type="dxa"/>
            <w:tcBorders>
              <w:right w:val="dotted" w:sz="4" w:space="0" w:color="auto"/>
            </w:tcBorders>
            <w:shd w:val="clear" w:color="auto" w:fill="C6D9F1" w:themeFill="text2" w:themeFillTint="33"/>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709"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709"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567"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1134" w:type="dxa"/>
            <w:shd w:val="clear" w:color="auto" w:fill="C6D9F1" w:themeFill="text2" w:themeFillTint="33"/>
            <w:vAlign w:val="center"/>
          </w:tcPr>
          <w:p w:rsidR="00916D37" w:rsidRPr="00DD051F" w:rsidRDefault="00916D37" w:rsidP="00916D37">
            <w:pPr>
              <w:spacing w:after="0"/>
              <w:jc w:val="center"/>
              <w:rPr>
                <w:rFonts w:cs="Arial"/>
                <w:b/>
              </w:rPr>
            </w:pPr>
          </w:p>
        </w:tc>
        <w:tc>
          <w:tcPr>
            <w:tcW w:w="708" w:type="dxa"/>
            <w:tcBorders>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709"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left w:val="dotted" w:sz="4" w:space="0" w:color="auto"/>
              <w:right w:val="double"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r>
      <w:tr w:rsidR="00916D37" w:rsidRPr="00D727B4" w:rsidTr="00916D37">
        <w:trPr>
          <w:trHeight w:val="283"/>
        </w:trPr>
        <w:tc>
          <w:tcPr>
            <w:tcW w:w="1168" w:type="dxa"/>
            <w:vMerge/>
            <w:tcBorders>
              <w:left w:val="double" w:sz="4" w:space="0" w:color="auto"/>
            </w:tcBorders>
            <w:shd w:val="clear" w:color="auto" w:fill="C6D9F1" w:themeFill="text2" w:themeFillTint="33"/>
            <w:vAlign w:val="center"/>
          </w:tcPr>
          <w:p w:rsidR="00916D37" w:rsidRPr="00D727B4" w:rsidRDefault="00916D37" w:rsidP="00916D37">
            <w:pPr>
              <w:spacing w:after="0"/>
              <w:jc w:val="center"/>
              <w:rPr>
                <w:rFonts w:cs="Arial"/>
                <w:b/>
                <w:caps/>
                <w:sz w:val="16"/>
                <w:szCs w:val="16"/>
              </w:rPr>
            </w:pPr>
          </w:p>
        </w:tc>
        <w:tc>
          <w:tcPr>
            <w:tcW w:w="1381" w:type="dxa"/>
            <w:tcBorders>
              <w:top w:val="dotted" w:sz="4" w:space="0" w:color="auto"/>
              <w:right w:val="double" w:sz="4" w:space="0" w:color="auto"/>
            </w:tcBorders>
            <w:shd w:val="clear" w:color="auto" w:fill="C6D9F1" w:themeFill="text2" w:themeFillTint="33"/>
            <w:vAlign w:val="center"/>
          </w:tcPr>
          <w:p w:rsidR="00916D37" w:rsidRPr="00D727B4" w:rsidRDefault="00916D37" w:rsidP="00916D37">
            <w:pPr>
              <w:spacing w:after="0"/>
              <w:jc w:val="center"/>
              <w:rPr>
                <w:rFonts w:cs="Arial"/>
                <w:b/>
                <w:caps/>
                <w:sz w:val="16"/>
                <w:szCs w:val="16"/>
              </w:rPr>
            </w:pPr>
            <w:r w:rsidRPr="00D727B4">
              <w:rPr>
                <w:rFonts w:cs="Arial"/>
                <w:b/>
                <w:caps/>
                <w:sz w:val="16"/>
                <w:szCs w:val="16"/>
              </w:rPr>
              <w:t>Myeloid</w:t>
            </w:r>
          </w:p>
        </w:tc>
        <w:tc>
          <w:tcPr>
            <w:tcW w:w="519" w:type="dxa"/>
            <w:tcBorders>
              <w:left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515"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21"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521"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25" w:type="dxa"/>
            <w:tcBorders>
              <w:right w:val="dotted" w:sz="4" w:space="0" w:color="auto"/>
            </w:tcBorders>
            <w:shd w:val="clear" w:color="auto" w:fill="C6D9F1" w:themeFill="text2" w:themeFillTint="33"/>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709"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709"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567"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1134" w:type="dxa"/>
            <w:shd w:val="clear" w:color="auto" w:fill="C6D9F1" w:themeFill="text2" w:themeFillTint="33"/>
            <w:vAlign w:val="center"/>
          </w:tcPr>
          <w:p w:rsidR="00916D37" w:rsidRPr="00DD051F" w:rsidRDefault="00916D37" w:rsidP="00916D37">
            <w:pPr>
              <w:spacing w:after="0"/>
              <w:jc w:val="center"/>
              <w:rPr>
                <w:rFonts w:cs="Arial"/>
                <w:b/>
              </w:rPr>
            </w:pPr>
          </w:p>
        </w:tc>
        <w:tc>
          <w:tcPr>
            <w:tcW w:w="708" w:type="dxa"/>
            <w:tcBorders>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709"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left w:val="dotted"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lef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left w:val="dotted" w:sz="4" w:space="0" w:color="auto"/>
              <w:right w:val="double"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r>
      <w:tr w:rsidR="00916D37" w:rsidRPr="00D727B4" w:rsidTr="00916D37">
        <w:trPr>
          <w:trHeight w:val="283"/>
        </w:trPr>
        <w:tc>
          <w:tcPr>
            <w:tcW w:w="2549" w:type="dxa"/>
            <w:gridSpan w:val="2"/>
            <w:tcBorders>
              <w:left w:val="double" w:sz="4" w:space="0" w:color="auto"/>
              <w:bottom w:val="double" w:sz="4" w:space="0" w:color="auto"/>
              <w:right w:val="double" w:sz="4" w:space="0" w:color="auto"/>
            </w:tcBorders>
            <w:shd w:val="clear" w:color="auto" w:fill="C6D9F1" w:themeFill="text2" w:themeFillTint="33"/>
            <w:vAlign w:val="center"/>
          </w:tcPr>
          <w:p w:rsidR="00916D37" w:rsidRPr="00D727B4" w:rsidRDefault="00916D37" w:rsidP="00916D37">
            <w:pPr>
              <w:spacing w:after="0"/>
              <w:jc w:val="center"/>
              <w:rPr>
                <w:rFonts w:cs="Arial"/>
                <w:b/>
                <w:caps/>
                <w:sz w:val="16"/>
                <w:szCs w:val="16"/>
              </w:rPr>
            </w:pPr>
            <w:r w:rsidRPr="00D727B4">
              <w:rPr>
                <w:rFonts w:cs="Arial"/>
                <w:b/>
                <w:caps/>
                <w:sz w:val="16"/>
                <w:szCs w:val="16"/>
              </w:rPr>
              <w:t>Non-Hodgkin lymphoma</w:t>
            </w:r>
          </w:p>
        </w:tc>
        <w:tc>
          <w:tcPr>
            <w:tcW w:w="519" w:type="dxa"/>
            <w:tcBorders>
              <w:left w:val="double" w:sz="4" w:space="0" w:color="auto"/>
              <w:bottom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521" w:type="dxa"/>
            <w:tcBorders>
              <w:left w:val="dotted" w:sz="4" w:space="0" w:color="auto"/>
              <w:bottom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15" w:type="dxa"/>
            <w:tcBorders>
              <w:left w:val="dotted" w:sz="4" w:space="0" w:color="auto"/>
              <w:bottom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21" w:type="dxa"/>
            <w:tcBorders>
              <w:left w:val="dotted" w:sz="4" w:space="0" w:color="auto"/>
              <w:bottom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21" w:type="dxa"/>
            <w:tcBorders>
              <w:left w:val="dotted" w:sz="4" w:space="0" w:color="auto"/>
              <w:bottom w:val="double"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25" w:type="dxa"/>
            <w:tcBorders>
              <w:bottom w:val="double" w:sz="4" w:space="0" w:color="auto"/>
              <w:right w:val="dotted" w:sz="4" w:space="0" w:color="auto"/>
            </w:tcBorders>
            <w:shd w:val="clear" w:color="auto" w:fill="C6D9F1" w:themeFill="text2" w:themeFillTint="33"/>
          </w:tcPr>
          <w:p w:rsidR="00916D37" w:rsidRPr="00DD051F" w:rsidRDefault="00916D37" w:rsidP="00916D37">
            <w:pPr>
              <w:spacing w:after="0"/>
              <w:jc w:val="center"/>
              <w:rPr>
                <w:rFonts w:cs="Arial"/>
                <w:b/>
              </w:rPr>
            </w:pPr>
          </w:p>
        </w:tc>
        <w:tc>
          <w:tcPr>
            <w:tcW w:w="567" w:type="dxa"/>
            <w:tcBorders>
              <w:left w:val="dotted" w:sz="4" w:space="0" w:color="auto"/>
              <w:bottom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709" w:type="dxa"/>
            <w:tcBorders>
              <w:left w:val="dotted" w:sz="4" w:space="0" w:color="auto"/>
              <w:bottom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709" w:type="dxa"/>
            <w:tcBorders>
              <w:left w:val="dotted" w:sz="4" w:space="0" w:color="auto"/>
              <w:bottom w:val="double"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567" w:type="dxa"/>
            <w:tcBorders>
              <w:bottom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567" w:type="dxa"/>
            <w:tcBorders>
              <w:left w:val="dotted" w:sz="4" w:space="0" w:color="auto"/>
              <w:bottom w:val="double"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1134" w:type="dxa"/>
            <w:tcBorders>
              <w:bottom w:val="double"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708" w:type="dxa"/>
            <w:tcBorders>
              <w:bottom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709" w:type="dxa"/>
            <w:tcBorders>
              <w:left w:val="dotted" w:sz="4" w:space="0" w:color="auto"/>
              <w:bottom w:val="double"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bottom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r w:rsidRPr="00DD051F">
              <w:rPr>
                <w:rFonts w:cs="Arial"/>
                <w:b/>
              </w:rPr>
              <w:t>X</w:t>
            </w:r>
          </w:p>
        </w:tc>
        <w:tc>
          <w:tcPr>
            <w:tcW w:w="567" w:type="dxa"/>
            <w:tcBorders>
              <w:left w:val="dotted" w:sz="4" w:space="0" w:color="auto"/>
              <w:bottom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left w:val="dotted" w:sz="4" w:space="0" w:color="auto"/>
              <w:bottom w:val="double"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bottom w:val="double" w:sz="4" w:space="0" w:color="auto"/>
              <w:right w:val="dotted"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c>
          <w:tcPr>
            <w:tcW w:w="567" w:type="dxa"/>
            <w:tcBorders>
              <w:left w:val="dotted" w:sz="4" w:space="0" w:color="auto"/>
              <w:bottom w:val="double" w:sz="4" w:space="0" w:color="auto"/>
              <w:right w:val="double" w:sz="4" w:space="0" w:color="auto"/>
            </w:tcBorders>
            <w:shd w:val="clear" w:color="auto" w:fill="C6D9F1" w:themeFill="text2" w:themeFillTint="33"/>
            <w:vAlign w:val="center"/>
          </w:tcPr>
          <w:p w:rsidR="00916D37" w:rsidRPr="00DD051F" w:rsidRDefault="00916D37" w:rsidP="00916D37">
            <w:pPr>
              <w:spacing w:after="0"/>
              <w:jc w:val="center"/>
              <w:rPr>
                <w:rFonts w:cs="Arial"/>
                <w:b/>
              </w:rPr>
            </w:pPr>
          </w:p>
        </w:tc>
      </w:tr>
    </w:tbl>
    <w:p w:rsidR="00916D37" w:rsidRDefault="00916D37" w:rsidP="00745A63">
      <w:pPr>
        <w:spacing w:after="0"/>
        <w:rPr>
          <w:b/>
        </w:rPr>
      </w:pPr>
    </w:p>
    <w:p w:rsidR="00916D37" w:rsidRDefault="00916D37" w:rsidP="00916D37">
      <w:pPr>
        <w:pStyle w:val="ListParagraph"/>
        <w:numPr>
          <w:ilvl w:val="0"/>
          <w:numId w:val="17"/>
        </w:numPr>
        <w:contextualSpacing/>
        <w:jc w:val="left"/>
        <w:rPr>
          <w:rFonts w:cs="Arial"/>
          <w:b/>
        </w:rPr>
        <w:sectPr w:rsidR="00916D37" w:rsidSect="00916D37">
          <w:pgSz w:w="16838" w:h="11906" w:orient="landscape"/>
          <w:pgMar w:top="1077" w:right="851" w:bottom="1077" w:left="851" w:header="709" w:footer="709" w:gutter="0"/>
          <w:cols w:space="708"/>
          <w:docGrid w:linePitch="360"/>
        </w:sectPr>
      </w:pPr>
    </w:p>
    <w:p w:rsidR="00916D37" w:rsidRPr="00E061BE" w:rsidRDefault="00916D37" w:rsidP="00916D37">
      <w:pPr>
        <w:pStyle w:val="ListParagraph"/>
        <w:numPr>
          <w:ilvl w:val="0"/>
          <w:numId w:val="17"/>
        </w:numPr>
        <w:contextualSpacing/>
        <w:jc w:val="left"/>
        <w:rPr>
          <w:rFonts w:cs="Arial"/>
          <w:b/>
        </w:rPr>
      </w:pPr>
      <w:r w:rsidRPr="00E061BE">
        <w:rPr>
          <w:rFonts w:cs="Arial"/>
          <w:b/>
        </w:rPr>
        <w:lastRenderedPageBreak/>
        <w:t>Antimetabolites</w:t>
      </w:r>
    </w:p>
    <w:p w:rsidR="00916D37" w:rsidRPr="0090558B" w:rsidRDefault="00916D37" w:rsidP="00916D37">
      <w:pPr>
        <w:pStyle w:val="ListParagraph"/>
        <w:numPr>
          <w:ilvl w:val="1"/>
          <w:numId w:val="17"/>
        </w:numPr>
        <w:contextualSpacing/>
        <w:jc w:val="left"/>
        <w:rPr>
          <w:rFonts w:cs="Arial"/>
        </w:rPr>
      </w:pPr>
      <w:r w:rsidRPr="0090558B">
        <w:rPr>
          <w:rFonts w:cs="Arial"/>
        </w:rPr>
        <w:t xml:space="preserve">Methotrexate (DHF </w:t>
      </w:r>
      <w:proofErr w:type="spellStart"/>
      <w:r w:rsidRPr="0090558B">
        <w:rPr>
          <w:rFonts w:cs="Arial"/>
        </w:rPr>
        <w:t>reductase</w:t>
      </w:r>
      <w:proofErr w:type="spellEnd"/>
      <w:r w:rsidRPr="0090558B">
        <w:rPr>
          <w:rFonts w:cs="Arial"/>
        </w:rPr>
        <w:t xml:space="preserve"> inhibitor)</w:t>
      </w:r>
    </w:p>
    <w:p w:rsidR="00916D37" w:rsidRPr="0090558B" w:rsidRDefault="00916D37" w:rsidP="00916D37">
      <w:pPr>
        <w:pStyle w:val="ListParagraph"/>
        <w:numPr>
          <w:ilvl w:val="1"/>
          <w:numId w:val="17"/>
        </w:numPr>
        <w:contextualSpacing/>
        <w:jc w:val="left"/>
        <w:rPr>
          <w:rFonts w:cs="Arial"/>
        </w:rPr>
      </w:pPr>
      <w:proofErr w:type="spellStart"/>
      <w:r w:rsidRPr="0090558B">
        <w:rPr>
          <w:rFonts w:cs="Arial"/>
        </w:rPr>
        <w:t>Mercaptopurine</w:t>
      </w:r>
      <w:proofErr w:type="spellEnd"/>
      <w:r w:rsidRPr="0090558B">
        <w:rPr>
          <w:rFonts w:cs="Arial"/>
        </w:rPr>
        <w:t xml:space="preserve"> (purine precursor)</w:t>
      </w:r>
    </w:p>
    <w:p w:rsidR="00916D37" w:rsidRPr="0090558B" w:rsidRDefault="00916D37" w:rsidP="00916D37">
      <w:pPr>
        <w:pStyle w:val="ListParagraph"/>
        <w:numPr>
          <w:ilvl w:val="1"/>
          <w:numId w:val="17"/>
        </w:numPr>
        <w:contextualSpacing/>
        <w:jc w:val="left"/>
        <w:rPr>
          <w:rFonts w:cs="Arial"/>
        </w:rPr>
      </w:pPr>
      <w:r w:rsidRPr="0090558B">
        <w:rPr>
          <w:rFonts w:cs="Arial"/>
        </w:rPr>
        <w:t xml:space="preserve">Fluorouracil, </w:t>
      </w:r>
      <w:proofErr w:type="spellStart"/>
      <w:r w:rsidRPr="0090558B">
        <w:rPr>
          <w:rFonts w:cs="Arial"/>
        </w:rPr>
        <w:t>capecetabine</w:t>
      </w:r>
      <w:proofErr w:type="spellEnd"/>
      <w:r w:rsidRPr="0090558B">
        <w:rPr>
          <w:rFonts w:cs="Arial"/>
        </w:rPr>
        <w:t xml:space="preserve"> (</w:t>
      </w:r>
      <w:proofErr w:type="spellStart"/>
      <w:r w:rsidRPr="0090558B">
        <w:rPr>
          <w:rFonts w:cs="Arial"/>
        </w:rPr>
        <w:t>thymidilate</w:t>
      </w:r>
      <w:proofErr w:type="spellEnd"/>
      <w:r w:rsidRPr="0090558B">
        <w:rPr>
          <w:rFonts w:cs="Arial"/>
        </w:rPr>
        <w:t xml:space="preserve"> synthase inhibitor)</w:t>
      </w:r>
    </w:p>
    <w:p w:rsidR="00916D37" w:rsidRPr="0090558B" w:rsidRDefault="00916D37" w:rsidP="00916D37">
      <w:pPr>
        <w:pStyle w:val="ListParagraph"/>
        <w:numPr>
          <w:ilvl w:val="1"/>
          <w:numId w:val="17"/>
        </w:numPr>
        <w:contextualSpacing/>
        <w:jc w:val="left"/>
        <w:rPr>
          <w:rFonts w:cs="Arial"/>
        </w:rPr>
      </w:pPr>
      <w:proofErr w:type="spellStart"/>
      <w:r w:rsidRPr="0090558B">
        <w:rPr>
          <w:rFonts w:cs="Arial"/>
        </w:rPr>
        <w:t>Cytarabine</w:t>
      </w:r>
      <w:proofErr w:type="spellEnd"/>
      <w:r w:rsidRPr="0090558B">
        <w:rPr>
          <w:rFonts w:cs="Arial"/>
        </w:rPr>
        <w:t xml:space="preserve"> (DNA polymerase inhibitor)</w:t>
      </w:r>
    </w:p>
    <w:p w:rsidR="00916D37" w:rsidRPr="0090558B" w:rsidRDefault="00916D37" w:rsidP="00916D37">
      <w:pPr>
        <w:pStyle w:val="ListParagraph"/>
        <w:numPr>
          <w:ilvl w:val="1"/>
          <w:numId w:val="17"/>
        </w:numPr>
        <w:contextualSpacing/>
        <w:jc w:val="left"/>
        <w:rPr>
          <w:rFonts w:cs="Arial"/>
        </w:rPr>
      </w:pPr>
      <w:r w:rsidRPr="0090558B">
        <w:rPr>
          <w:rFonts w:cs="Arial"/>
        </w:rPr>
        <w:t>Gemcitabine (</w:t>
      </w:r>
      <w:proofErr w:type="spellStart"/>
      <w:r w:rsidRPr="0090558B">
        <w:rPr>
          <w:rFonts w:cs="Arial"/>
        </w:rPr>
        <w:t>ribonuclease</w:t>
      </w:r>
      <w:proofErr w:type="spellEnd"/>
      <w:r w:rsidRPr="0090558B">
        <w:rPr>
          <w:rFonts w:cs="Arial"/>
        </w:rPr>
        <w:t xml:space="preserve"> </w:t>
      </w:r>
      <w:proofErr w:type="spellStart"/>
      <w:r w:rsidRPr="0090558B">
        <w:rPr>
          <w:rFonts w:cs="Arial"/>
        </w:rPr>
        <w:t>reductase</w:t>
      </w:r>
      <w:proofErr w:type="spellEnd"/>
      <w:r w:rsidRPr="0090558B">
        <w:rPr>
          <w:rFonts w:cs="Arial"/>
        </w:rPr>
        <w:t xml:space="preserve"> inhibitor)</w:t>
      </w:r>
    </w:p>
    <w:p w:rsidR="00916D37" w:rsidRPr="00E061BE" w:rsidRDefault="00916D37" w:rsidP="00916D37">
      <w:pPr>
        <w:pStyle w:val="ListParagraph"/>
        <w:numPr>
          <w:ilvl w:val="0"/>
          <w:numId w:val="17"/>
        </w:numPr>
        <w:contextualSpacing/>
        <w:jc w:val="left"/>
        <w:rPr>
          <w:rFonts w:cs="Arial"/>
          <w:b/>
        </w:rPr>
      </w:pPr>
      <w:proofErr w:type="spellStart"/>
      <w:r w:rsidRPr="00E061BE">
        <w:rPr>
          <w:rFonts w:cs="Arial"/>
          <w:b/>
        </w:rPr>
        <w:t>Topo</w:t>
      </w:r>
      <w:proofErr w:type="spellEnd"/>
      <w:r w:rsidRPr="00E061BE">
        <w:rPr>
          <w:rFonts w:cs="Arial"/>
          <w:b/>
        </w:rPr>
        <w:t>-isomerise</w:t>
      </w:r>
      <w:r>
        <w:rPr>
          <w:rFonts w:cs="Arial"/>
          <w:b/>
        </w:rPr>
        <w:t xml:space="preserve"> (</w:t>
      </w:r>
      <w:proofErr w:type="spellStart"/>
      <w:r>
        <w:rPr>
          <w:rFonts w:cs="Arial"/>
          <w:b/>
        </w:rPr>
        <w:t>Topo-i</w:t>
      </w:r>
      <w:proofErr w:type="spellEnd"/>
      <w:r w:rsidRPr="00E061BE">
        <w:rPr>
          <w:rFonts w:cs="Arial"/>
          <w:b/>
        </w:rPr>
        <w:t>) inhibitors</w:t>
      </w:r>
    </w:p>
    <w:p w:rsidR="00916D37" w:rsidRPr="0090558B" w:rsidRDefault="00916D37" w:rsidP="00916D37">
      <w:pPr>
        <w:pStyle w:val="ListParagraph"/>
        <w:numPr>
          <w:ilvl w:val="1"/>
          <w:numId w:val="17"/>
        </w:numPr>
        <w:contextualSpacing/>
        <w:jc w:val="left"/>
        <w:rPr>
          <w:rFonts w:cs="Arial"/>
        </w:rPr>
      </w:pPr>
      <w:proofErr w:type="spellStart"/>
      <w:r>
        <w:rPr>
          <w:rFonts w:cs="Arial"/>
        </w:rPr>
        <w:t>Irinotecan</w:t>
      </w:r>
      <w:proofErr w:type="spellEnd"/>
      <w:r>
        <w:rPr>
          <w:rFonts w:cs="Arial"/>
        </w:rPr>
        <w:t xml:space="preserve"> (type I)</w:t>
      </w:r>
    </w:p>
    <w:p w:rsidR="00916D37" w:rsidRDefault="00916D37" w:rsidP="00916D37">
      <w:pPr>
        <w:pStyle w:val="ListParagraph"/>
        <w:numPr>
          <w:ilvl w:val="1"/>
          <w:numId w:val="17"/>
        </w:numPr>
        <w:contextualSpacing/>
        <w:jc w:val="left"/>
        <w:rPr>
          <w:rFonts w:cs="Arial"/>
        </w:rPr>
      </w:pPr>
      <w:proofErr w:type="spellStart"/>
      <w:r w:rsidRPr="0090558B">
        <w:rPr>
          <w:rFonts w:cs="Arial"/>
        </w:rPr>
        <w:t>Etoposide</w:t>
      </w:r>
      <w:proofErr w:type="spellEnd"/>
      <w:r>
        <w:rPr>
          <w:rFonts w:cs="Arial"/>
        </w:rPr>
        <w:t xml:space="preserve"> (type II)</w:t>
      </w:r>
    </w:p>
    <w:p w:rsidR="00916D37" w:rsidRPr="00E061BE" w:rsidRDefault="00916D37" w:rsidP="00916D37">
      <w:pPr>
        <w:pStyle w:val="ListParagraph"/>
        <w:numPr>
          <w:ilvl w:val="0"/>
          <w:numId w:val="17"/>
        </w:numPr>
        <w:contextualSpacing/>
        <w:jc w:val="left"/>
        <w:rPr>
          <w:rFonts w:cs="Arial"/>
          <w:b/>
        </w:rPr>
      </w:pPr>
      <w:r w:rsidRPr="00E061BE">
        <w:rPr>
          <w:rFonts w:cs="Arial"/>
          <w:b/>
        </w:rPr>
        <w:t xml:space="preserve">DNA </w:t>
      </w:r>
      <w:proofErr w:type="spellStart"/>
      <w:r w:rsidRPr="00E061BE">
        <w:rPr>
          <w:rFonts w:cs="Arial"/>
          <w:b/>
        </w:rPr>
        <w:t>intercalators</w:t>
      </w:r>
      <w:proofErr w:type="spellEnd"/>
    </w:p>
    <w:p w:rsidR="00916D37" w:rsidRPr="0090558B" w:rsidRDefault="00916D37" w:rsidP="00916D37">
      <w:pPr>
        <w:pStyle w:val="ListParagraph"/>
        <w:numPr>
          <w:ilvl w:val="1"/>
          <w:numId w:val="17"/>
        </w:numPr>
        <w:contextualSpacing/>
        <w:jc w:val="left"/>
        <w:rPr>
          <w:rFonts w:cs="Arial"/>
        </w:rPr>
      </w:pPr>
      <w:r w:rsidRPr="0090558B">
        <w:rPr>
          <w:rFonts w:cs="Arial"/>
        </w:rPr>
        <w:t>Doxorubicin</w:t>
      </w:r>
      <w:r>
        <w:rPr>
          <w:rFonts w:cs="Arial"/>
        </w:rPr>
        <w:t xml:space="preserve"> (also a </w:t>
      </w:r>
      <w:proofErr w:type="spellStart"/>
      <w:r>
        <w:rPr>
          <w:rFonts w:cs="Arial"/>
        </w:rPr>
        <w:t>topo</w:t>
      </w:r>
      <w:proofErr w:type="spellEnd"/>
      <w:r>
        <w:rPr>
          <w:rFonts w:cs="Arial"/>
        </w:rPr>
        <w:t xml:space="preserve">-I inhibitor) </w:t>
      </w:r>
    </w:p>
    <w:p w:rsidR="00916D37" w:rsidRPr="0090558B" w:rsidRDefault="00916D37" w:rsidP="00916D37">
      <w:pPr>
        <w:pStyle w:val="ListParagraph"/>
        <w:numPr>
          <w:ilvl w:val="1"/>
          <w:numId w:val="17"/>
        </w:numPr>
        <w:contextualSpacing/>
        <w:jc w:val="left"/>
        <w:rPr>
          <w:rFonts w:cs="Arial"/>
        </w:rPr>
      </w:pPr>
      <w:proofErr w:type="spellStart"/>
      <w:r w:rsidRPr="0090558B">
        <w:rPr>
          <w:rFonts w:cs="Arial"/>
        </w:rPr>
        <w:t>Bleomycin</w:t>
      </w:r>
      <w:proofErr w:type="spellEnd"/>
    </w:p>
    <w:p w:rsidR="00916D37" w:rsidRPr="00E061BE" w:rsidRDefault="00916D37" w:rsidP="00916D37">
      <w:pPr>
        <w:pStyle w:val="ListParagraph"/>
        <w:numPr>
          <w:ilvl w:val="0"/>
          <w:numId w:val="17"/>
        </w:numPr>
        <w:contextualSpacing/>
        <w:jc w:val="left"/>
        <w:rPr>
          <w:rFonts w:cs="Arial"/>
          <w:b/>
        </w:rPr>
      </w:pPr>
      <w:r w:rsidRPr="00E061BE">
        <w:rPr>
          <w:rFonts w:cs="Arial"/>
          <w:b/>
        </w:rPr>
        <w:t>Nitrogen mustards</w:t>
      </w:r>
    </w:p>
    <w:p w:rsidR="00916D37" w:rsidRPr="0090558B" w:rsidRDefault="00916D37" w:rsidP="00916D37">
      <w:pPr>
        <w:pStyle w:val="ListParagraph"/>
        <w:numPr>
          <w:ilvl w:val="1"/>
          <w:numId w:val="17"/>
        </w:numPr>
        <w:contextualSpacing/>
        <w:jc w:val="left"/>
        <w:rPr>
          <w:rFonts w:cs="Arial"/>
        </w:rPr>
      </w:pPr>
      <w:r w:rsidRPr="0090558B">
        <w:rPr>
          <w:rFonts w:cs="Arial"/>
        </w:rPr>
        <w:t>Cyclophosphamide</w:t>
      </w:r>
    </w:p>
    <w:p w:rsidR="00916D37" w:rsidRPr="0090558B" w:rsidRDefault="00916D37" w:rsidP="00916D37">
      <w:pPr>
        <w:pStyle w:val="ListParagraph"/>
        <w:numPr>
          <w:ilvl w:val="1"/>
          <w:numId w:val="17"/>
        </w:numPr>
        <w:contextualSpacing/>
        <w:jc w:val="left"/>
        <w:rPr>
          <w:rFonts w:cs="Arial"/>
        </w:rPr>
      </w:pPr>
      <w:proofErr w:type="spellStart"/>
      <w:r w:rsidRPr="0090558B">
        <w:rPr>
          <w:rFonts w:cs="Arial"/>
        </w:rPr>
        <w:t>Chlorambucil</w:t>
      </w:r>
      <w:proofErr w:type="spellEnd"/>
      <w:r w:rsidRPr="0090558B">
        <w:rPr>
          <w:rFonts w:cs="Arial"/>
        </w:rPr>
        <w:t xml:space="preserve"> </w:t>
      </w:r>
    </w:p>
    <w:p w:rsidR="00916D37" w:rsidRPr="00E061BE" w:rsidRDefault="00916D37" w:rsidP="00916D37">
      <w:pPr>
        <w:pStyle w:val="ListParagraph"/>
        <w:numPr>
          <w:ilvl w:val="0"/>
          <w:numId w:val="17"/>
        </w:numPr>
        <w:contextualSpacing/>
        <w:jc w:val="left"/>
        <w:rPr>
          <w:rFonts w:cs="Arial"/>
          <w:b/>
        </w:rPr>
      </w:pPr>
      <w:r w:rsidRPr="00E061BE">
        <w:rPr>
          <w:rFonts w:cs="Arial"/>
          <w:b/>
        </w:rPr>
        <w:lastRenderedPageBreak/>
        <w:t>Platinum agents</w:t>
      </w:r>
    </w:p>
    <w:p w:rsidR="00916D37" w:rsidRPr="0090558B" w:rsidRDefault="00916D37" w:rsidP="00916D37">
      <w:pPr>
        <w:pStyle w:val="ListParagraph"/>
        <w:numPr>
          <w:ilvl w:val="1"/>
          <w:numId w:val="17"/>
        </w:numPr>
        <w:contextualSpacing/>
        <w:jc w:val="left"/>
        <w:rPr>
          <w:rFonts w:cs="Arial"/>
        </w:rPr>
      </w:pPr>
      <w:proofErr w:type="spellStart"/>
      <w:r w:rsidRPr="0090558B">
        <w:rPr>
          <w:rFonts w:cs="Arial"/>
        </w:rPr>
        <w:t>Cisplatin</w:t>
      </w:r>
      <w:proofErr w:type="spellEnd"/>
    </w:p>
    <w:p w:rsidR="00916D37" w:rsidRPr="00E061BE" w:rsidRDefault="00916D37" w:rsidP="00916D37">
      <w:pPr>
        <w:pStyle w:val="ListParagraph"/>
        <w:numPr>
          <w:ilvl w:val="0"/>
          <w:numId w:val="17"/>
        </w:numPr>
        <w:contextualSpacing/>
        <w:jc w:val="left"/>
        <w:rPr>
          <w:rFonts w:cs="Arial"/>
          <w:b/>
        </w:rPr>
      </w:pPr>
      <w:r w:rsidRPr="00E061BE">
        <w:rPr>
          <w:rFonts w:cs="Arial"/>
          <w:b/>
        </w:rPr>
        <w:t>Microtubule inhibitors</w:t>
      </w:r>
    </w:p>
    <w:p w:rsidR="00916D37" w:rsidRPr="0090558B" w:rsidRDefault="00916D37" w:rsidP="00916D37">
      <w:pPr>
        <w:pStyle w:val="ListParagraph"/>
        <w:numPr>
          <w:ilvl w:val="1"/>
          <w:numId w:val="17"/>
        </w:numPr>
        <w:contextualSpacing/>
        <w:jc w:val="left"/>
        <w:rPr>
          <w:rFonts w:cs="Arial"/>
        </w:rPr>
      </w:pPr>
      <w:proofErr w:type="spellStart"/>
      <w:r w:rsidRPr="0090558B">
        <w:rPr>
          <w:rFonts w:cs="Arial"/>
        </w:rPr>
        <w:t>Vinca</w:t>
      </w:r>
      <w:proofErr w:type="spellEnd"/>
      <w:r w:rsidRPr="0090558B">
        <w:rPr>
          <w:rFonts w:cs="Arial"/>
        </w:rPr>
        <w:t xml:space="preserve"> alkaloids (inhibit assembly)</w:t>
      </w:r>
    </w:p>
    <w:p w:rsidR="00916D37" w:rsidRPr="0090558B" w:rsidRDefault="00916D37" w:rsidP="00916D37">
      <w:pPr>
        <w:pStyle w:val="ListParagraph"/>
        <w:numPr>
          <w:ilvl w:val="1"/>
          <w:numId w:val="17"/>
        </w:numPr>
        <w:contextualSpacing/>
        <w:jc w:val="left"/>
        <w:rPr>
          <w:rFonts w:cs="Arial"/>
        </w:rPr>
      </w:pPr>
      <w:proofErr w:type="spellStart"/>
      <w:r w:rsidRPr="0090558B">
        <w:rPr>
          <w:rFonts w:cs="Arial"/>
        </w:rPr>
        <w:t>Docetaxel</w:t>
      </w:r>
      <w:proofErr w:type="spellEnd"/>
      <w:r w:rsidRPr="0090558B">
        <w:rPr>
          <w:rFonts w:cs="Arial"/>
        </w:rPr>
        <w:t>, paclitaxel (inhibit disassembly)</w:t>
      </w:r>
    </w:p>
    <w:p w:rsidR="00916D37" w:rsidRPr="00E061BE" w:rsidRDefault="00916D37" w:rsidP="00916D37">
      <w:pPr>
        <w:pStyle w:val="ListParagraph"/>
        <w:numPr>
          <w:ilvl w:val="0"/>
          <w:numId w:val="17"/>
        </w:numPr>
        <w:contextualSpacing/>
        <w:jc w:val="left"/>
        <w:rPr>
          <w:rFonts w:cs="Arial"/>
          <w:b/>
        </w:rPr>
      </w:pPr>
      <w:r w:rsidRPr="00E061BE">
        <w:rPr>
          <w:rFonts w:cs="Arial"/>
          <w:b/>
        </w:rPr>
        <w:t>Monoclonal antibodies</w:t>
      </w:r>
    </w:p>
    <w:p w:rsidR="00916D37" w:rsidRPr="0090558B" w:rsidRDefault="00916D37" w:rsidP="00916D37">
      <w:pPr>
        <w:pStyle w:val="ListParagraph"/>
        <w:numPr>
          <w:ilvl w:val="1"/>
          <w:numId w:val="17"/>
        </w:numPr>
        <w:contextualSpacing/>
        <w:jc w:val="left"/>
        <w:rPr>
          <w:rFonts w:cs="Arial"/>
        </w:rPr>
      </w:pPr>
      <w:r w:rsidRPr="0090558B">
        <w:rPr>
          <w:rFonts w:cs="Arial"/>
        </w:rPr>
        <w:t>Rituximab</w:t>
      </w:r>
      <w:r>
        <w:rPr>
          <w:rFonts w:cs="Arial"/>
        </w:rPr>
        <w:t xml:space="preserve"> (B-cell CD20)</w:t>
      </w:r>
    </w:p>
    <w:p w:rsidR="00916D37" w:rsidRDefault="00916D37" w:rsidP="00916D37">
      <w:pPr>
        <w:pStyle w:val="ListParagraph"/>
        <w:numPr>
          <w:ilvl w:val="1"/>
          <w:numId w:val="17"/>
        </w:numPr>
        <w:contextualSpacing/>
        <w:jc w:val="left"/>
        <w:rPr>
          <w:rFonts w:cs="Arial"/>
        </w:rPr>
      </w:pPr>
      <w:proofErr w:type="spellStart"/>
      <w:r w:rsidRPr="0090558B">
        <w:rPr>
          <w:rFonts w:cs="Arial"/>
        </w:rPr>
        <w:t>Trastuzumab</w:t>
      </w:r>
      <w:proofErr w:type="spellEnd"/>
      <w:r>
        <w:rPr>
          <w:rFonts w:cs="Arial"/>
        </w:rPr>
        <w:t xml:space="preserve"> (HER2/</w:t>
      </w:r>
      <w:proofErr w:type="spellStart"/>
      <w:r>
        <w:rPr>
          <w:rFonts w:cs="Arial"/>
        </w:rPr>
        <w:t>neu</w:t>
      </w:r>
      <w:proofErr w:type="spellEnd"/>
      <w:r>
        <w:rPr>
          <w:rFonts w:cs="Arial"/>
        </w:rPr>
        <w:t>)</w:t>
      </w:r>
    </w:p>
    <w:p w:rsidR="00916D37" w:rsidRPr="0090558B" w:rsidRDefault="00916D37" w:rsidP="00916D37">
      <w:pPr>
        <w:pStyle w:val="ListParagraph"/>
        <w:numPr>
          <w:ilvl w:val="1"/>
          <w:numId w:val="17"/>
        </w:numPr>
        <w:contextualSpacing/>
        <w:jc w:val="left"/>
        <w:rPr>
          <w:rFonts w:cs="Arial"/>
        </w:rPr>
      </w:pPr>
      <w:proofErr w:type="spellStart"/>
      <w:r>
        <w:rPr>
          <w:rFonts w:cs="Arial"/>
        </w:rPr>
        <w:t>Bevacizumab</w:t>
      </w:r>
      <w:proofErr w:type="spellEnd"/>
      <w:r>
        <w:rPr>
          <w:rFonts w:cs="Arial"/>
        </w:rPr>
        <w:t xml:space="preserve"> (VEGF)</w:t>
      </w:r>
    </w:p>
    <w:p w:rsidR="00916D37" w:rsidRPr="00E061BE" w:rsidRDefault="00916D37" w:rsidP="00916D37">
      <w:pPr>
        <w:pStyle w:val="ListParagraph"/>
        <w:numPr>
          <w:ilvl w:val="0"/>
          <w:numId w:val="17"/>
        </w:numPr>
        <w:contextualSpacing/>
        <w:jc w:val="left"/>
        <w:rPr>
          <w:rFonts w:cs="Arial"/>
          <w:b/>
        </w:rPr>
      </w:pPr>
      <w:r w:rsidRPr="00E061BE">
        <w:rPr>
          <w:rFonts w:cs="Arial"/>
          <w:b/>
        </w:rPr>
        <w:t>Tyrosine kinase inhibitors</w:t>
      </w:r>
    </w:p>
    <w:p w:rsidR="00916D37" w:rsidRPr="00E25937" w:rsidRDefault="00916D37" w:rsidP="00916D37">
      <w:pPr>
        <w:pStyle w:val="ListParagraph"/>
        <w:numPr>
          <w:ilvl w:val="1"/>
          <w:numId w:val="17"/>
        </w:numPr>
        <w:contextualSpacing/>
        <w:jc w:val="left"/>
      </w:pPr>
      <w:proofErr w:type="spellStart"/>
      <w:r>
        <w:rPr>
          <w:rFonts w:cs="Arial"/>
        </w:rPr>
        <w:t>Gefitinib</w:t>
      </w:r>
      <w:proofErr w:type="spellEnd"/>
      <w:r>
        <w:rPr>
          <w:rFonts w:cs="Arial"/>
        </w:rPr>
        <w:t xml:space="preserve"> &amp; </w:t>
      </w:r>
      <w:proofErr w:type="spellStart"/>
      <w:r>
        <w:rPr>
          <w:rFonts w:cs="Arial"/>
        </w:rPr>
        <w:t>Erlotinib</w:t>
      </w:r>
      <w:proofErr w:type="spellEnd"/>
      <w:r>
        <w:rPr>
          <w:rFonts w:cs="Arial"/>
        </w:rPr>
        <w:t xml:space="preserve"> (EGFR)</w:t>
      </w:r>
    </w:p>
    <w:p w:rsidR="00916D37" w:rsidRPr="00853300" w:rsidRDefault="00916D37" w:rsidP="00916D37">
      <w:pPr>
        <w:pStyle w:val="ListParagraph"/>
        <w:numPr>
          <w:ilvl w:val="1"/>
          <w:numId w:val="17"/>
        </w:numPr>
        <w:contextualSpacing/>
        <w:jc w:val="left"/>
      </w:pPr>
      <w:proofErr w:type="spellStart"/>
      <w:r w:rsidRPr="0090558B">
        <w:rPr>
          <w:rFonts w:cs="Arial"/>
        </w:rPr>
        <w:t>Sunitinib</w:t>
      </w:r>
      <w:proofErr w:type="spellEnd"/>
      <w:r>
        <w:rPr>
          <w:rFonts w:cs="Arial"/>
        </w:rPr>
        <w:t xml:space="preserve"> (multiple receptor tyrosine kinases) </w:t>
      </w:r>
    </w:p>
    <w:p w:rsidR="00916D37" w:rsidRDefault="00916D37" w:rsidP="00745A63">
      <w:pPr>
        <w:spacing w:after="0"/>
        <w:rPr>
          <w:b/>
        </w:rPr>
      </w:pPr>
    </w:p>
    <w:p w:rsidR="00916D37" w:rsidRPr="00916D37" w:rsidRDefault="00916D37" w:rsidP="00916D37">
      <w:pPr>
        <w:spacing w:after="0"/>
        <w:jc w:val="left"/>
        <w:sectPr w:rsidR="00916D37" w:rsidRPr="00916D37" w:rsidSect="00916D37">
          <w:type w:val="continuous"/>
          <w:pgSz w:w="16838" w:h="11906" w:orient="landscape"/>
          <w:pgMar w:top="1077" w:right="851" w:bottom="1077" w:left="851" w:header="709" w:footer="709" w:gutter="0"/>
          <w:cols w:num="2" w:space="708"/>
          <w:docGrid w:linePitch="360"/>
        </w:sectPr>
      </w:pPr>
      <w:r w:rsidRPr="00916D37">
        <w:t>NB: Shaded cancer types indicate liquid tumours</w:t>
      </w:r>
    </w:p>
    <w:p w:rsidR="00893CB9" w:rsidRPr="00893CB9" w:rsidRDefault="00893CB9" w:rsidP="00893CB9">
      <w:pPr>
        <w:spacing w:after="120"/>
        <w:ind w:left="357"/>
        <w:rPr>
          <w:b/>
        </w:rPr>
      </w:pPr>
      <w:r w:rsidRPr="00893CB9">
        <w:rPr>
          <w:b/>
        </w:rPr>
        <w:lastRenderedPageBreak/>
        <w:t xml:space="preserve">Prof. Nigel </w:t>
      </w:r>
      <w:proofErr w:type="spellStart"/>
      <w:r w:rsidRPr="00893CB9">
        <w:rPr>
          <w:b/>
        </w:rPr>
        <w:t>Gooderham’s</w:t>
      </w:r>
      <w:proofErr w:type="spellEnd"/>
      <w:r w:rsidRPr="00893CB9">
        <w:rPr>
          <w:b/>
        </w:rPr>
        <w:t xml:space="preserve"> learning objectives</w:t>
      </w:r>
    </w:p>
    <w:p w:rsidR="005942A1" w:rsidRDefault="009E62C2" w:rsidP="00893CB9">
      <w:pPr>
        <w:numPr>
          <w:ilvl w:val="0"/>
          <w:numId w:val="26"/>
        </w:numPr>
        <w:spacing w:after="0"/>
      </w:pPr>
      <w:r w:rsidRPr="00893CB9">
        <w:t>To be able to define the term ‘Cancer.’</w:t>
      </w:r>
    </w:p>
    <w:p w:rsidR="00597FD1" w:rsidRPr="00597FD1" w:rsidRDefault="00597FD1" w:rsidP="00597FD1">
      <w:pPr>
        <w:spacing w:after="0"/>
        <w:rPr>
          <w:color w:val="FF0000"/>
        </w:rPr>
      </w:pPr>
      <w:r w:rsidRPr="00597FD1">
        <w:rPr>
          <w:color w:val="FF0000"/>
        </w:rPr>
        <w:t>Cancer can be defined as a disease that is caused by the uncontrolled proliferation and growth of abnormal cells</w:t>
      </w:r>
    </w:p>
    <w:p w:rsidR="005942A1" w:rsidRDefault="009E62C2" w:rsidP="00893CB9">
      <w:pPr>
        <w:numPr>
          <w:ilvl w:val="0"/>
          <w:numId w:val="26"/>
        </w:numPr>
        <w:spacing w:after="0"/>
      </w:pPr>
      <w:r w:rsidRPr="00893CB9">
        <w:t>To be able to describe the characteristics of cancer cells.</w:t>
      </w:r>
    </w:p>
    <w:p w:rsidR="00597FD1" w:rsidRPr="00893CB9" w:rsidRDefault="00597FD1" w:rsidP="00597FD1">
      <w:pPr>
        <w:spacing w:after="0"/>
      </w:pPr>
      <w:r w:rsidRPr="00597FD1">
        <w:rPr>
          <w:color w:val="FF0000"/>
        </w:rPr>
        <w:t>Cancer cells display: self-sufficient growth; angiogenesis; evasion of apoptosis; avoiding immune detection; limitless replication potential</w:t>
      </w:r>
    </w:p>
    <w:p w:rsidR="005942A1" w:rsidRDefault="009E62C2" w:rsidP="00893CB9">
      <w:pPr>
        <w:numPr>
          <w:ilvl w:val="0"/>
          <w:numId w:val="26"/>
        </w:numPr>
        <w:spacing w:after="0"/>
      </w:pPr>
      <w:r w:rsidRPr="00893CB9">
        <w:t>To be familiar with the molecular basis of chemotherapy.</w:t>
      </w:r>
    </w:p>
    <w:p w:rsidR="00597FD1" w:rsidRPr="00597FD1" w:rsidRDefault="00597FD1" w:rsidP="00597FD1">
      <w:pPr>
        <w:spacing w:after="0"/>
        <w:rPr>
          <w:color w:val="FF0000"/>
        </w:rPr>
      </w:pPr>
      <w:r w:rsidRPr="00597FD1">
        <w:rPr>
          <w:color w:val="FF0000"/>
        </w:rPr>
        <w:t xml:space="preserve">Antimetabolites affect enzymes involved in nucleic acid synthesis; </w:t>
      </w:r>
      <w:proofErr w:type="spellStart"/>
      <w:r w:rsidRPr="00597FD1">
        <w:rPr>
          <w:color w:val="FF0000"/>
        </w:rPr>
        <w:t>cisplatin</w:t>
      </w:r>
      <w:proofErr w:type="spellEnd"/>
      <w:r w:rsidRPr="00597FD1">
        <w:rPr>
          <w:color w:val="FF0000"/>
        </w:rPr>
        <w:t xml:space="preserve"> forms DNA adducts, alkylating agents form covalent bonds with nucleic acids; the </w:t>
      </w:r>
      <w:proofErr w:type="spellStart"/>
      <w:r w:rsidRPr="00597FD1">
        <w:rPr>
          <w:color w:val="FF0000"/>
        </w:rPr>
        <w:t>taxanes</w:t>
      </w:r>
      <w:proofErr w:type="spellEnd"/>
      <w:r w:rsidRPr="00597FD1">
        <w:rPr>
          <w:color w:val="FF0000"/>
        </w:rPr>
        <w:t xml:space="preserve"> &amp; </w:t>
      </w:r>
      <w:proofErr w:type="spellStart"/>
      <w:r w:rsidRPr="00597FD1">
        <w:rPr>
          <w:color w:val="FF0000"/>
        </w:rPr>
        <w:t>vinca</w:t>
      </w:r>
      <w:proofErr w:type="spellEnd"/>
      <w:r w:rsidRPr="00597FD1">
        <w:rPr>
          <w:color w:val="FF0000"/>
        </w:rPr>
        <w:t xml:space="preserve"> alkaloids inhibit microtubules </w:t>
      </w:r>
    </w:p>
    <w:p w:rsidR="005942A1" w:rsidRDefault="009E62C2" w:rsidP="00893CB9">
      <w:pPr>
        <w:numPr>
          <w:ilvl w:val="0"/>
          <w:numId w:val="26"/>
        </w:numPr>
        <w:spacing w:after="0"/>
      </w:pPr>
      <w:r w:rsidRPr="00893CB9">
        <w:t>To be able to discuss the potential targets for chemotherapy.</w:t>
      </w:r>
    </w:p>
    <w:p w:rsidR="00597FD1" w:rsidRPr="00597FD1" w:rsidRDefault="00597FD1" w:rsidP="00597FD1">
      <w:pPr>
        <w:spacing w:after="0"/>
        <w:rPr>
          <w:color w:val="FF0000"/>
        </w:rPr>
      </w:pPr>
      <w:r w:rsidRPr="00597FD1">
        <w:rPr>
          <w:color w:val="FF0000"/>
        </w:rPr>
        <w:t xml:space="preserve">DNA, topoisomerase, microtubules, </w:t>
      </w:r>
      <w:proofErr w:type="gramStart"/>
      <w:r w:rsidRPr="00597FD1">
        <w:rPr>
          <w:color w:val="FF0000"/>
        </w:rPr>
        <w:t>tyrosine</w:t>
      </w:r>
      <w:proofErr w:type="gramEnd"/>
      <w:r w:rsidRPr="00597FD1">
        <w:rPr>
          <w:color w:val="FF0000"/>
        </w:rPr>
        <w:t>-kinase linked receptors</w:t>
      </w:r>
    </w:p>
    <w:p w:rsidR="005942A1" w:rsidRPr="00597FD1" w:rsidRDefault="009E62C2" w:rsidP="00893CB9">
      <w:pPr>
        <w:numPr>
          <w:ilvl w:val="0"/>
          <w:numId w:val="26"/>
        </w:numPr>
        <w:spacing w:after="0"/>
      </w:pPr>
      <w:r w:rsidRPr="00893CB9">
        <w:t>To be able to identify the major classes of anticancer drugs and describe their mechanisms of action.</w:t>
      </w:r>
      <w:r w:rsidRPr="00893CB9">
        <w:rPr>
          <w:lang w:val="en-US"/>
        </w:rPr>
        <w:t xml:space="preserve"> </w:t>
      </w:r>
    </w:p>
    <w:p w:rsidR="00597FD1" w:rsidRPr="00597FD1" w:rsidRDefault="00597FD1" w:rsidP="00597FD1">
      <w:pPr>
        <w:rPr>
          <w:color w:val="FF0000"/>
        </w:rPr>
      </w:pPr>
      <w:r w:rsidRPr="00597FD1">
        <w:rPr>
          <w:bCs/>
          <w:color w:val="FF0000"/>
        </w:rPr>
        <w:t xml:space="preserve">Antimetabolites: e.g. 5-fluorouracil; Topoisomerase inhibitors: e.g. </w:t>
      </w:r>
      <w:proofErr w:type="spellStart"/>
      <w:r w:rsidRPr="00597FD1">
        <w:rPr>
          <w:bCs/>
          <w:color w:val="FF0000"/>
        </w:rPr>
        <w:t>Etoposide</w:t>
      </w:r>
      <w:proofErr w:type="spellEnd"/>
      <w:r w:rsidRPr="00597FD1">
        <w:rPr>
          <w:bCs/>
          <w:color w:val="FF0000"/>
        </w:rPr>
        <w:t xml:space="preserve">; DNA </w:t>
      </w:r>
      <w:proofErr w:type="spellStart"/>
      <w:r w:rsidRPr="00597FD1">
        <w:rPr>
          <w:bCs/>
          <w:color w:val="FF0000"/>
        </w:rPr>
        <w:t>intercalators</w:t>
      </w:r>
      <w:proofErr w:type="spellEnd"/>
      <w:r w:rsidRPr="00597FD1">
        <w:rPr>
          <w:bCs/>
          <w:color w:val="FF0000"/>
        </w:rPr>
        <w:t xml:space="preserve">: e.g. Doxorubicin; Alkylating agents: e.g. Cyclophosphamide; Microtubules: e.g.  </w:t>
      </w:r>
      <w:proofErr w:type="spellStart"/>
      <w:r w:rsidRPr="00597FD1">
        <w:rPr>
          <w:bCs/>
          <w:color w:val="FF0000"/>
        </w:rPr>
        <w:t>Vinca</w:t>
      </w:r>
      <w:proofErr w:type="spellEnd"/>
      <w:r w:rsidRPr="00597FD1">
        <w:rPr>
          <w:bCs/>
          <w:color w:val="FF0000"/>
        </w:rPr>
        <w:t xml:space="preserve"> alkaloids; </w:t>
      </w:r>
      <w:proofErr w:type="spellStart"/>
      <w:r w:rsidRPr="00597FD1">
        <w:rPr>
          <w:bCs/>
          <w:color w:val="FF0000"/>
        </w:rPr>
        <w:t>TyR</w:t>
      </w:r>
      <w:proofErr w:type="spellEnd"/>
      <w:r w:rsidRPr="00597FD1">
        <w:rPr>
          <w:bCs/>
          <w:color w:val="FF0000"/>
        </w:rPr>
        <w:t xml:space="preserve"> receptor inhibitors: e.g. </w:t>
      </w:r>
      <w:proofErr w:type="spellStart"/>
      <w:r w:rsidRPr="00597FD1">
        <w:rPr>
          <w:bCs/>
          <w:color w:val="FF0000"/>
        </w:rPr>
        <w:t>Trastuzumab</w:t>
      </w:r>
      <w:proofErr w:type="spellEnd"/>
      <w:r w:rsidRPr="00597FD1">
        <w:rPr>
          <w:bCs/>
          <w:color w:val="FF0000"/>
        </w:rPr>
        <w:t xml:space="preserve">, </w:t>
      </w:r>
      <w:proofErr w:type="spellStart"/>
      <w:r w:rsidRPr="00597FD1">
        <w:rPr>
          <w:bCs/>
          <w:color w:val="FF0000"/>
        </w:rPr>
        <w:t>erlotinib</w:t>
      </w:r>
      <w:proofErr w:type="spellEnd"/>
    </w:p>
    <w:p w:rsidR="00597FD1" w:rsidRPr="00893CB9" w:rsidRDefault="00597FD1" w:rsidP="00597FD1">
      <w:pPr>
        <w:spacing w:after="0"/>
      </w:pPr>
    </w:p>
    <w:p w:rsidR="00461533" w:rsidRPr="00461533" w:rsidRDefault="00461533" w:rsidP="00745A63">
      <w:pPr>
        <w:spacing w:after="0"/>
        <w:rPr>
          <w:b/>
        </w:rPr>
      </w:pPr>
    </w:p>
    <w:sectPr w:rsidR="00461533" w:rsidRPr="00461533" w:rsidSect="00893CB9">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43" w:rsidRDefault="006E7B43" w:rsidP="008054D5">
      <w:pPr>
        <w:spacing w:after="0" w:line="240" w:lineRule="auto"/>
      </w:pPr>
      <w:r>
        <w:separator/>
      </w:r>
    </w:p>
  </w:endnote>
  <w:endnote w:type="continuationSeparator" w:id="0">
    <w:p w:rsidR="006E7B43" w:rsidRDefault="006E7B43" w:rsidP="0080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43" w:rsidRDefault="006E7B43" w:rsidP="008054D5">
      <w:pPr>
        <w:spacing w:after="0" w:line="240" w:lineRule="auto"/>
      </w:pPr>
      <w:r>
        <w:separator/>
      </w:r>
    </w:p>
  </w:footnote>
  <w:footnote w:type="continuationSeparator" w:id="0">
    <w:p w:rsidR="006E7B43" w:rsidRDefault="006E7B43" w:rsidP="00805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38" w:type="pct"/>
      <w:tblInd w:w="-1152" w:type="dxa"/>
      <w:tblBorders>
        <w:insideV w:val="single" w:sz="4" w:space="0" w:color="auto"/>
      </w:tblBorders>
      <w:tblLook w:val="04A0" w:firstRow="1" w:lastRow="0" w:firstColumn="1" w:lastColumn="0" w:noHBand="0" w:noVBand="1"/>
    </w:tblPr>
    <w:tblGrid>
      <w:gridCol w:w="1151"/>
      <w:gridCol w:w="9890"/>
    </w:tblGrid>
    <w:tr w:rsidR="002E529B" w:rsidTr="0071420D">
      <w:trPr>
        <w:trHeight w:val="113"/>
      </w:trPr>
      <w:tc>
        <w:tcPr>
          <w:tcW w:w="1151" w:type="dxa"/>
        </w:tcPr>
        <w:p w:rsidR="002E529B" w:rsidRPr="002E529B" w:rsidRDefault="00984939">
          <w:pPr>
            <w:pStyle w:val="Header"/>
            <w:jc w:val="right"/>
            <w:rPr>
              <w:b/>
              <w:bCs/>
              <w:sz w:val="18"/>
              <w:szCs w:val="18"/>
            </w:rPr>
          </w:pPr>
          <w:r w:rsidRPr="002E529B">
            <w:rPr>
              <w:sz w:val="18"/>
              <w:szCs w:val="18"/>
            </w:rPr>
            <w:fldChar w:fldCharType="begin"/>
          </w:r>
          <w:r w:rsidR="002E529B" w:rsidRPr="002E529B">
            <w:rPr>
              <w:sz w:val="18"/>
              <w:szCs w:val="18"/>
            </w:rPr>
            <w:instrText xml:space="preserve"> PAGE   \* MERGEFORMAT </w:instrText>
          </w:r>
          <w:r w:rsidRPr="002E529B">
            <w:rPr>
              <w:sz w:val="18"/>
              <w:szCs w:val="18"/>
            </w:rPr>
            <w:fldChar w:fldCharType="separate"/>
          </w:r>
          <w:r w:rsidR="00FF16CA">
            <w:rPr>
              <w:noProof/>
              <w:sz w:val="18"/>
              <w:szCs w:val="18"/>
            </w:rPr>
            <w:t>5</w:t>
          </w:r>
          <w:r w:rsidRPr="002E529B">
            <w:rPr>
              <w:noProof/>
              <w:sz w:val="18"/>
              <w:szCs w:val="18"/>
            </w:rPr>
            <w:fldChar w:fldCharType="end"/>
          </w:r>
        </w:p>
      </w:tc>
      <w:tc>
        <w:tcPr>
          <w:tcW w:w="9890" w:type="dxa"/>
          <w:noWrap/>
        </w:tcPr>
        <w:p w:rsidR="002E529B" w:rsidRPr="002E529B" w:rsidRDefault="00984939" w:rsidP="002E529B">
          <w:pPr>
            <w:pStyle w:val="Header"/>
            <w:spacing w:after="0"/>
            <w:ind w:right="34"/>
            <w:rPr>
              <w:b/>
              <w:bCs/>
              <w:sz w:val="18"/>
              <w:szCs w:val="18"/>
            </w:rPr>
          </w:pPr>
          <w:r w:rsidRPr="002E529B">
            <w:rPr>
              <w:sz w:val="18"/>
              <w:szCs w:val="18"/>
            </w:rPr>
            <w:fldChar w:fldCharType="begin"/>
          </w:r>
          <w:r w:rsidR="002E529B" w:rsidRPr="002E529B">
            <w:rPr>
              <w:sz w:val="18"/>
              <w:szCs w:val="18"/>
            </w:rPr>
            <w:instrText xml:space="preserve"> STYLEREF  "1" </w:instrText>
          </w:r>
          <w:r w:rsidRPr="002E529B">
            <w:rPr>
              <w:sz w:val="18"/>
              <w:szCs w:val="18"/>
            </w:rPr>
            <w:fldChar w:fldCharType="separate"/>
          </w:r>
          <w:r w:rsidR="00FF16CA">
            <w:rPr>
              <w:noProof/>
              <w:sz w:val="18"/>
              <w:szCs w:val="18"/>
            </w:rPr>
            <w:t>Cytotoxic drugs</w:t>
          </w:r>
          <w:r w:rsidRPr="002E529B">
            <w:rPr>
              <w:noProof/>
              <w:sz w:val="18"/>
              <w:szCs w:val="18"/>
            </w:rPr>
            <w:fldChar w:fldCharType="end"/>
          </w:r>
          <w:r w:rsidR="002E529B">
            <w:rPr>
              <w:noProof/>
              <w:sz w:val="18"/>
              <w:szCs w:val="18"/>
            </w:rPr>
            <w:t xml:space="preserve">                                                                              </w:t>
          </w:r>
          <w:r w:rsidR="0071420D">
            <w:rPr>
              <w:noProof/>
              <w:sz w:val="18"/>
              <w:szCs w:val="18"/>
            </w:rPr>
            <w:t xml:space="preserve">   </w:t>
          </w:r>
          <w:r w:rsidR="00DD7133">
            <w:rPr>
              <w:noProof/>
              <w:sz w:val="18"/>
              <w:szCs w:val="18"/>
            </w:rPr>
            <w:t xml:space="preserve"> </w:t>
          </w:r>
          <w:r w:rsidR="002A3D13">
            <w:rPr>
              <w:noProof/>
              <w:sz w:val="18"/>
              <w:szCs w:val="18"/>
            </w:rPr>
            <w:t xml:space="preserve">                                      </w:t>
          </w:r>
          <w:r w:rsidR="0071420D">
            <w:rPr>
              <w:noProof/>
              <w:sz w:val="18"/>
              <w:szCs w:val="18"/>
            </w:rPr>
            <w:t xml:space="preserve">Dr </w:t>
          </w:r>
          <w:r w:rsidR="002E529B">
            <w:rPr>
              <w:noProof/>
              <w:sz w:val="18"/>
              <w:szCs w:val="18"/>
            </w:rPr>
            <w:t>Sohag Saleh</w:t>
          </w:r>
          <w:r w:rsidR="00DD7133">
            <w:rPr>
              <w:noProof/>
              <w:sz w:val="18"/>
              <w:szCs w:val="18"/>
            </w:rPr>
            <w:t xml:space="preserve"> (2012-13)</w:t>
          </w:r>
        </w:p>
      </w:tc>
    </w:tr>
  </w:tbl>
  <w:p w:rsidR="0028747D" w:rsidRDefault="0028747D" w:rsidP="00805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74D"/>
    <w:multiLevelType w:val="hybridMultilevel"/>
    <w:tmpl w:val="22289B50"/>
    <w:lvl w:ilvl="0" w:tplc="D7740BC2">
      <w:start w:val="1"/>
      <w:numFmt w:val="upperLetter"/>
      <w:pStyle w:val="Heading4"/>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7E6C57"/>
    <w:multiLevelType w:val="hybridMultilevel"/>
    <w:tmpl w:val="1F02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C1C1F"/>
    <w:multiLevelType w:val="hybridMultilevel"/>
    <w:tmpl w:val="2A9E77E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0AA33852"/>
    <w:multiLevelType w:val="hybridMultilevel"/>
    <w:tmpl w:val="C1128B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A503D4"/>
    <w:multiLevelType w:val="hybridMultilevel"/>
    <w:tmpl w:val="5232C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7B73AB"/>
    <w:multiLevelType w:val="hybridMultilevel"/>
    <w:tmpl w:val="831654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E062CB"/>
    <w:multiLevelType w:val="hybridMultilevel"/>
    <w:tmpl w:val="1096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3F2969"/>
    <w:multiLevelType w:val="hybridMultilevel"/>
    <w:tmpl w:val="C2CEE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BE1818"/>
    <w:multiLevelType w:val="hybridMultilevel"/>
    <w:tmpl w:val="F170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303F52"/>
    <w:multiLevelType w:val="hybridMultilevel"/>
    <w:tmpl w:val="C4627C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8E2F0E"/>
    <w:multiLevelType w:val="hybridMultilevel"/>
    <w:tmpl w:val="EBBC37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B1615A"/>
    <w:multiLevelType w:val="hybridMultilevel"/>
    <w:tmpl w:val="F28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A837CB"/>
    <w:multiLevelType w:val="hybridMultilevel"/>
    <w:tmpl w:val="38A2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437E1C"/>
    <w:multiLevelType w:val="hybridMultilevel"/>
    <w:tmpl w:val="A19C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081799"/>
    <w:multiLevelType w:val="hybridMultilevel"/>
    <w:tmpl w:val="F11C8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AF5D59"/>
    <w:multiLevelType w:val="hybridMultilevel"/>
    <w:tmpl w:val="D870EEC0"/>
    <w:lvl w:ilvl="0" w:tplc="FB3E051E">
      <w:start w:val="1"/>
      <w:numFmt w:val="decimal"/>
      <w:lvlText w:val="%1."/>
      <w:lvlJc w:val="left"/>
      <w:pPr>
        <w:tabs>
          <w:tab w:val="num" w:pos="720"/>
        </w:tabs>
        <w:ind w:left="720" w:hanging="360"/>
      </w:pPr>
    </w:lvl>
    <w:lvl w:ilvl="1" w:tplc="8C9E1788">
      <w:start w:val="1"/>
      <w:numFmt w:val="decimal"/>
      <w:lvlText w:val="%2."/>
      <w:lvlJc w:val="left"/>
      <w:pPr>
        <w:tabs>
          <w:tab w:val="num" w:pos="1440"/>
        </w:tabs>
        <w:ind w:left="1440" w:hanging="360"/>
      </w:pPr>
    </w:lvl>
    <w:lvl w:ilvl="2" w:tplc="1624D38C" w:tentative="1">
      <w:start w:val="1"/>
      <w:numFmt w:val="decimal"/>
      <w:lvlText w:val="%3."/>
      <w:lvlJc w:val="left"/>
      <w:pPr>
        <w:tabs>
          <w:tab w:val="num" w:pos="2160"/>
        </w:tabs>
        <w:ind w:left="2160" w:hanging="360"/>
      </w:pPr>
    </w:lvl>
    <w:lvl w:ilvl="3" w:tplc="30F6CC52" w:tentative="1">
      <w:start w:val="1"/>
      <w:numFmt w:val="decimal"/>
      <w:lvlText w:val="%4."/>
      <w:lvlJc w:val="left"/>
      <w:pPr>
        <w:tabs>
          <w:tab w:val="num" w:pos="2880"/>
        </w:tabs>
        <w:ind w:left="2880" w:hanging="360"/>
      </w:pPr>
    </w:lvl>
    <w:lvl w:ilvl="4" w:tplc="006A3AC2" w:tentative="1">
      <w:start w:val="1"/>
      <w:numFmt w:val="decimal"/>
      <w:lvlText w:val="%5."/>
      <w:lvlJc w:val="left"/>
      <w:pPr>
        <w:tabs>
          <w:tab w:val="num" w:pos="3600"/>
        </w:tabs>
        <w:ind w:left="3600" w:hanging="360"/>
      </w:pPr>
    </w:lvl>
    <w:lvl w:ilvl="5" w:tplc="AE08F7FC" w:tentative="1">
      <w:start w:val="1"/>
      <w:numFmt w:val="decimal"/>
      <w:lvlText w:val="%6."/>
      <w:lvlJc w:val="left"/>
      <w:pPr>
        <w:tabs>
          <w:tab w:val="num" w:pos="4320"/>
        </w:tabs>
        <w:ind w:left="4320" w:hanging="360"/>
      </w:pPr>
    </w:lvl>
    <w:lvl w:ilvl="6" w:tplc="4B0C5DC2" w:tentative="1">
      <w:start w:val="1"/>
      <w:numFmt w:val="decimal"/>
      <w:lvlText w:val="%7."/>
      <w:lvlJc w:val="left"/>
      <w:pPr>
        <w:tabs>
          <w:tab w:val="num" w:pos="5040"/>
        </w:tabs>
        <w:ind w:left="5040" w:hanging="360"/>
      </w:pPr>
    </w:lvl>
    <w:lvl w:ilvl="7" w:tplc="5BB0C302" w:tentative="1">
      <w:start w:val="1"/>
      <w:numFmt w:val="decimal"/>
      <w:lvlText w:val="%8."/>
      <w:lvlJc w:val="left"/>
      <w:pPr>
        <w:tabs>
          <w:tab w:val="num" w:pos="5760"/>
        </w:tabs>
        <w:ind w:left="5760" w:hanging="360"/>
      </w:pPr>
    </w:lvl>
    <w:lvl w:ilvl="8" w:tplc="950EC586" w:tentative="1">
      <w:start w:val="1"/>
      <w:numFmt w:val="decimal"/>
      <w:lvlText w:val="%9."/>
      <w:lvlJc w:val="left"/>
      <w:pPr>
        <w:tabs>
          <w:tab w:val="num" w:pos="6480"/>
        </w:tabs>
        <w:ind w:left="6480" w:hanging="360"/>
      </w:pPr>
    </w:lvl>
  </w:abstractNum>
  <w:abstractNum w:abstractNumId="16">
    <w:nsid w:val="583A7B13"/>
    <w:multiLevelType w:val="hybridMultilevel"/>
    <w:tmpl w:val="DADA8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2765C"/>
    <w:multiLevelType w:val="singleLevel"/>
    <w:tmpl w:val="8E8E6338"/>
    <w:lvl w:ilvl="0">
      <w:start w:val="1"/>
      <w:numFmt w:val="decimal"/>
      <w:lvlText w:val="%1)"/>
      <w:lvlJc w:val="left"/>
      <w:pPr>
        <w:ind w:left="1080" w:hanging="720"/>
      </w:pPr>
      <w:rPr>
        <w:rFonts w:hint="default"/>
      </w:rPr>
    </w:lvl>
  </w:abstractNum>
  <w:abstractNum w:abstractNumId="18">
    <w:nsid w:val="6461301B"/>
    <w:multiLevelType w:val="hybridMultilevel"/>
    <w:tmpl w:val="6678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EB7AEB"/>
    <w:multiLevelType w:val="hybridMultilevel"/>
    <w:tmpl w:val="C262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604C05"/>
    <w:multiLevelType w:val="hybridMultilevel"/>
    <w:tmpl w:val="318C4A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86635D"/>
    <w:multiLevelType w:val="hybridMultilevel"/>
    <w:tmpl w:val="514A0FEE"/>
    <w:lvl w:ilvl="0" w:tplc="69E28106">
      <w:start w:val="1"/>
      <w:numFmt w:val="bullet"/>
      <w:lvlText w:val="•"/>
      <w:lvlJc w:val="left"/>
      <w:pPr>
        <w:tabs>
          <w:tab w:val="num" w:pos="720"/>
        </w:tabs>
        <w:ind w:left="720" w:hanging="360"/>
      </w:pPr>
      <w:rPr>
        <w:rFonts w:ascii="Arial" w:hAnsi="Arial" w:hint="default"/>
      </w:rPr>
    </w:lvl>
    <w:lvl w:ilvl="1" w:tplc="426E03B4">
      <w:start w:val="542"/>
      <w:numFmt w:val="bullet"/>
      <w:lvlText w:val="•"/>
      <w:lvlJc w:val="left"/>
      <w:pPr>
        <w:tabs>
          <w:tab w:val="num" w:pos="1440"/>
        </w:tabs>
        <w:ind w:left="1440" w:hanging="360"/>
      </w:pPr>
      <w:rPr>
        <w:rFonts w:ascii="Arial" w:hAnsi="Arial" w:hint="default"/>
      </w:rPr>
    </w:lvl>
    <w:lvl w:ilvl="2" w:tplc="4832F7CE" w:tentative="1">
      <w:start w:val="1"/>
      <w:numFmt w:val="bullet"/>
      <w:lvlText w:val="•"/>
      <w:lvlJc w:val="left"/>
      <w:pPr>
        <w:tabs>
          <w:tab w:val="num" w:pos="2160"/>
        </w:tabs>
        <w:ind w:left="2160" w:hanging="360"/>
      </w:pPr>
      <w:rPr>
        <w:rFonts w:ascii="Arial" w:hAnsi="Arial" w:hint="default"/>
      </w:rPr>
    </w:lvl>
    <w:lvl w:ilvl="3" w:tplc="379A90C8" w:tentative="1">
      <w:start w:val="1"/>
      <w:numFmt w:val="bullet"/>
      <w:lvlText w:val="•"/>
      <w:lvlJc w:val="left"/>
      <w:pPr>
        <w:tabs>
          <w:tab w:val="num" w:pos="2880"/>
        </w:tabs>
        <w:ind w:left="2880" w:hanging="360"/>
      </w:pPr>
      <w:rPr>
        <w:rFonts w:ascii="Arial" w:hAnsi="Arial" w:hint="default"/>
      </w:rPr>
    </w:lvl>
    <w:lvl w:ilvl="4" w:tplc="B2BC643C" w:tentative="1">
      <w:start w:val="1"/>
      <w:numFmt w:val="bullet"/>
      <w:lvlText w:val="•"/>
      <w:lvlJc w:val="left"/>
      <w:pPr>
        <w:tabs>
          <w:tab w:val="num" w:pos="3600"/>
        </w:tabs>
        <w:ind w:left="3600" w:hanging="360"/>
      </w:pPr>
      <w:rPr>
        <w:rFonts w:ascii="Arial" w:hAnsi="Arial" w:hint="default"/>
      </w:rPr>
    </w:lvl>
    <w:lvl w:ilvl="5" w:tplc="BEC062C8" w:tentative="1">
      <w:start w:val="1"/>
      <w:numFmt w:val="bullet"/>
      <w:lvlText w:val="•"/>
      <w:lvlJc w:val="left"/>
      <w:pPr>
        <w:tabs>
          <w:tab w:val="num" w:pos="4320"/>
        </w:tabs>
        <w:ind w:left="4320" w:hanging="360"/>
      </w:pPr>
      <w:rPr>
        <w:rFonts w:ascii="Arial" w:hAnsi="Arial" w:hint="default"/>
      </w:rPr>
    </w:lvl>
    <w:lvl w:ilvl="6" w:tplc="1CB4728C" w:tentative="1">
      <w:start w:val="1"/>
      <w:numFmt w:val="bullet"/>
      <w:lvlText w:val="•"/>
      <w:lvlJc w:val="left"/>
      <w:pPr>
        <w:tabs>
          <w:tab w:val="num" w:pos="5040"/>
        </w:tabs>
        <w:ind w:left="5040" w:hanging="360"/>
      </w:pPr>
      <w:rPr>
        <w:rFonts w:ascii="Arial" w:hAnsi="Arial" w:hint="default"/>
      </w:rPr>
    </w:lvl>
    <w:lvl w:ilvl="7" w:tplc="DFF681C0" w:tentative="1">
      <w:start w:val="1"/>
      <w:numFmt w:val="bullet"/>
      <w:lvlText w:val="•"/>
      <w:lvlJc w:val="left"/>
      <w:pPr>
        <w:tabs>
          <w:tab w:val="num" w:pos="5760"/>
        </w:tabs>
        <w:ind w:left="5760" w:hanging="360"/>
      </w:pPr>
      <w:rPr>
        <w:rFonts w:ascii="Arial" w:hAnsi="Arial" w:hint="default"/>
      </w:rPr>
    </w:lvl>
    <w:lvl w:ilvl="8" w:tplc="05A4D348" w:tentative="1">
      <w:start w:val="1"/>
      <w:numFmt w:val="bullet"/>
      <w:lvlText w:val="•"/>
      <w:lvlJc w:val="left"/>
      <w:pPr>
        <w:tabs>
          <w:tab w:val="num" w:pos="6480"/>
        </w:tabs>
        <w:ind w:left="6480" w:hanging="360"/>
      </w:pPr>
      <w:rPr>
        <w:rFonts w:ascii="Arial" w:hAnsi="Arial" w:hint="default"/>
      </w:rPr>
    </w:lvl>
  </w:abstractNum>
  <w:abstractNum w:abstractNumId="22">
    <w:nsid w:val="6B394385"/>
    <w:multiLevelType w:val="hybridMultilevel"/>
    <w:tmpl w:val="F2206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446092"/>
    <w:multiLevelType w:val="hybridMultilevel"/>
    <w:tmpl w:val="1430D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4878C1"/>
    <w:multiLevelType w:val="hybridMultilevel"/>
    <w:tmpl w:val="AACE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616AC9"/>
    <w:multiLevelType w:val="hybridMultilevel"/>
    <w:tmpl w:val="C8B2E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9C5025"/>
    <w:multiLevelType w:val="hybridMultilevel"/>
    <w:tmpl w:val="F8A6A412"/>
    <w:lvl w:ilvl="0" w:tplc="8E8E63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0"/>
  </w:num>
  <w:num w:numId="4">
    <w:abstractNumId w:val="26"/>
  </w:num>
  <w:num w:numId="5">
    <w:abstractNumId w:val="24"/>
  </w:num>
  <w:num w:numId="6">
    <w:abstractNumId w:val="19"/>
  </w:num>
  <w:num w:numId="7">
    <w:abstractNumId w:val="12"/>
  </w:num>
  <w:num w:numId="8">
    <w:abstractNumId w:val="6"/>
  </w:num>
  <w:num w:numId="9">
    <w:abstractNumId w:val="11"/>
  </w:num>
  <w:num w:numId="10">
    <w:abstractNumId w:val="13"/>
  </w:num>
  <w:num w:numId="11">
    <w:abstractNumId w:val="18"/>
  </w:num>
  <w:num w:numId="12">
    <w:abstractNumId w:val="22"/>
  </w:num>
  <w:num w:numId="13">
    <w:abstractNumId w:val="1"/>
  </w:num>
  <w:num w:numId="14">
    <w:abstractNumId w:val="23"/>
  </w:num>
  <w:num w:numId="15">
    <w:abstractNumId w:val="14"/>
  </w:num>
  <w:num w:numId="16">
    <w:abstractNumId w:val="8"/>
  </w:num>
  <w:num w:numId="17">
    <w:abstractNumId w:val="9"/>
  </w:num>
  <w:num w:numId="18">
    <w:abstractNumId w:val="5"/>
  </w:num>
  <w:num w:numId="19">
    <w:abstractNumId w:val="7"/>
  </w:num>
  <w:num w:numId="20">
    <w:abstractNumId w:val="25"/>
  </w:num>
  <w:num w:numId="21">
    <w:abstractNumId w:val="3"/>
  </w:num>
  <w:num w:numId="22">
    <w:abstractNumId w:val="20"/>
  </w:num>
  <w:num w:numId="23">
    <w:abstractNumId w:val="10"/>
  </w:num>
  <w:num w:numId="24">
    <w:abstractNumId w:val="16"/>
  </w:num>
  <w:num w:numId="25">
    <w:abstractNumId w:val="2"/>
  </w:num>
  <w:num w:numId="26">
    <w:abstractNumId w:val="15"/>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0B6FF0"/>
    <w:rsid w:val="000022E5"/>
    <w:rsid w:val="00007B3B"/>
    <w:rsid w:val="00010D78"/>
    <w:rsid w:val="00013E39"/>
    <w:rsid w:val="0002542D"/>
    <w:rsid w:val="00026F6A"/>
    <w:rsid w:val="000272C4"/>
    <w:rsid w:val="00040279"/>
    <w:rsid w:val="00043382"/>
    <w:rsid w:val="0005568E"/>
    <w:rsid w:val="00071588"/>
    <w:rsid w:val="00076649"/>
    <w:rsid w:val="00081C64"/>
    <w:rsid w:val="000972A2"/>
    <w:rsid w:val="00097F1A"/>
    <w:rsid w:val="000A75C9"/>
    <w:rsid w:val="000B6FF0"/>
    <w:rsid w:val="000C4350"/>
    <w:rsid w:val="000C609F"/>
    <w:rsid w:val="000E108F"/>
    <w:rsid w:val="000E76F8"/>
    <w:rsid w:val="000F1C47"/>
    <w:rsid w:val="000F23AE"/>
    <w:rsid w:val="00106243"/>
    <w:rsid w:val="0013698C"/>
    <w:rsid w:val="00137CCC"/>
    <w:rsid w:val="00141C97"/>
    <w:rsid w:val="00142F10"/>
    <w:rsid w:val="00146F9B"/>
    <w:rsid w:val="00150F88"/>
    <w:rsid w:val="001536B4"/>
    <w:rsid w:val="00164974"/>
    <w:rsid w:val="001840B0"/>
    <w:rsid w:val="00192E16"/>
    <w:rsid w:val="001934E3"/>
    <w:rsid w:val="001955BD"/>
    <w:rsid w:val="001B13FF"/>
    <w:rsid w:val="001C0C0A"/>
    <w:rsid w:val="001C2B63"/>
    <w:rsid w:val="001C3989"/>
    <w:rsid w:val="001D6117"/>
    <w:rsid w:val="001E2E07"/>
    <w:rsid w:val="001E5801"/>
    <w:rsid w:val="001F7925"/>
    <w:rsid w:val="00200D3A"/>
    <w:rsid w:val="002016F2"/>
    <w:rsid w:val="00202C39"/>
    <w:rsid w:val="002229D0"/>
    <w:rsid w:val="0023238B"/>
    <w:rsid w:val="00232F9E"/>
    <w:rsid w:val="00237D9E"/>
    <w:rsid w:val="00240620"/>
    <w:rsid w:val="00242DF0"/>
    <w:rsid w:val="002450AE"/>
    <w:rsid w:val="00254A21"/>
    <w:rsid w:val="00260A0D"/>
    <w:rsid w:val="0026193A"/>
    <w:rsid w:val="00276DFF"/>
    <w:rsid w:val="0028747D"/>
    <w:rsid w:val="00291354"/>
    <w:rsid w:val="00291ABA"/>
    <w:rsid w:val="0029234A"/>
    <w:rsid w:val="002A3524"/>
    <w:rsid w:val="002A3D13"/>
    <w:rsid w:val="002A6797"/>
    <w:rsid w:val="002A6AE0"/>
    <w:rsid w:val="002C148E"/>
    <w:rsid w:val="002C58D0"/>
    <w:rsid w:val="002C65A3"/>
    <w:rsid w:val="002D1574"/>
    <w:rsid w:val="002E4CCA"/>
    <w:rsid w:val="002E529B"/>
    <w:rsid w:val="002F2DFD"/>
    <w:rsid w:val="002F63D0"/>
    <w:rsid w:val="002F6A46"/>
    <w:rsid w:val="003261A4"/>
    <w:rsid w:val="00361622"/>
    <w:rsid w:val="00370E54"/>
    <w:rsid w:val="00387B06"/>
    <w:rsid w:val="00397FCF"/>
    <w:rsid w:val="003A4F32"/>
    <w:rsid w:val="003C1540"/>
    <w:rsid w:val="003C30DE"/>
    <w:rsid w:val="003D0059"/>
    <w:rsid w:val="003D47CA"/>
    <w:rsid w:val="003E655A"/>
    <w:rsid w:val="003F61AC"/>
    <w:rsid w:val="004134AD"/>
    <w:rsid w:val="00453849"/>
    <w:rsid w:val="00453D19"/>
    <w:rsid w:val="004544C5"/>
    <w:rsid w:val="00461533"/>
    <w:rsid w:val="00482F24"/>
    <w:rsid w:val="00490444"/>
    <w:rsid w:val="0049692A"/>
    <w:rsid w:val="004A2BBE"/>
    <w:rsid w:val="004B24B4"/>
    <w:rsid w:val="004B4932"/>
    <w:rsid w:val="004B64A8"/>
    <w:rsid w:val="004C0955"/>
    <w:rsid w:val="004C37B3"/>
    <w:rsid w:val="004D0CDD"/>
    <w:rsid w:val="004D2651"/>
    <w:rsid w:val="004D3019"/>
    <w:rsid w:val="004D51D4"/>
    <w:rsid w:val="004E6871"/>
    <w:rsid w:val="004F1ECE"/>
    <w:rsid w:val="004F7314"/>
    <w:rsid w:val="00504F69"/>
    <w:rsid w:val="00506347"/>
    <w:rsid w:val="0051018A"/>
    <w:rsid w:val="00511E03"/>
    <w:rsid w:val="00514251"/>
    <w:rsid w:val="0051498E"/>
    <w:rsid w:val="00515578"/>
    <w:rsid w:val="00523922"/>
    <w:rsid w:val="00531179"/>
    <w:rsid w:val="00533B4F"/>
    <w:rsid w:val="00540BC0"/>
    <w:rsid w:val="00541CDD"/>
    <w:rsid w:val="005463CB"/>
    <w:rsid w:val="00550730"/>
    <w:rsid w:val="00551D75"/>
    <w:rsid w:val="005818DC"/>
    <w:rsid w:val="005942A1"/>
    <w:rsid w:val="00594753"/>
    <w:rsid w:val="0059589F"/>
    <w:rsid w:val="00596494"/>
    <w:rsid w:val="00597FD1"/>
    <w:rsid w:val="005A0FE4"/>
    <w:rsid w:val="005B7011"/>
    <w:rsid w:val="005C2A6B"/>
    <w:rsid w:val="005C6E72"/>
    <w:rsid w:val="005D0533"/>
    <w:rsid w:val="005D1DE7"/>
    <w:rsid w:val="005D6C58"/>
    <w:rsid w:val="005D752E"/>
    <w:rsid w:val="005E482B"/>
    <w:rsid w:val="005E4D31"/>
    <w:rsid w:val="0062627B"/>
    <w:rsid w:val="006271CB"/>
    <w:rsid w:val="00627B74"/>
    <w:rsid w:val="00630064"/>
    <w:rsid w:val="00630291"/>
    <w:rsid w:val="00635015"/>
    <w:rsid w:val="00642BFF"/>
    <w:rsid w:val="006463B6"/>
    <w:rsid w:val="00657847"/>
    <w:rsid w:val="00660456"/>
    <w:rsid w:val="006667E0"/>
    <w:rsid w:val="00670352"/>
    <w:rsid w:val="0067441A"/>
    <w:rsid w:val="006878BB"/>
    <w:rsid w:val="0069321C"/>
    <w:rsid w:val="0069572D"/>
    <w:rsid w:val="00697F87"/>
    <w:rsid w:val="006B4D77"/>
    <w:rsid w:val="006B6F27"/>
    <w:rsid w:val="006B7B7D"/>
    <w:rsid w:val="006C657E"/>
    <w:rsid w:val="006D795C"/>
    <w:rsid w:val="006D7D14"/>
    <w:rsid w:val="006E4F7E"/>
    <w:rsid w:val="006E7B43"/>
    <w:rsid w:val="006F1FE5"/>
    <w:rsid w:val="006F509D"/>
    <w:rsid w:val="006F7F01"/>
    <w:rsid w:val="007079AF"/>
    <w:rsid w:val="0071420D"/>
    <w:rsid w:val="0072383C"/>
    <w:rsid w:val="00726E45"/>
    <w:rsid w:val="007304BD"/>
    <w:rsid w:val="00743327"/>
    <w:rsid w:val="00745A63"/>
    <w:rsid w:val="0075358D"/>
    <w:rsid w:val="00760902"/>
    <w:rsid w:val="0076200D"/>
    <w:rsid w:val="00767B73"/>
    <w:rsid w:val="007711BF"/>
    <w:rsid w:val="007716C7"/>
    <w:rsid w:val="00776889"/>
    <w:rsid w:val="0078211C"/>
    <w:rsid w:val="00795263"/>
    <w:rsid w:val="007A3490"/>
    <w:rsid w:val="007A785C"/>
    <w:rsid w:val="007B4AE3"/>
    <w:rsid w:val="007B6339"/>
    <w:rsid w:val="007B72F9"/>
    <w:rsid w:val="007E0E06"/>
    <w:rsid w:val="007E1DAF"/>
    <w:rsid w:val="007E3167"/>
    <w:rsid w:val="007E65B6"/>
    <w:rsid w:val="007F7A0D"/>
    <w:rsid w:val="008019D8"/>
    <w:rsid w:val="008054D5"/>
    <w:rsid w:val="00814ADE"/>
    <w:rsid w:val="00822BCF"/>
    <w:rsid w:val="008363B9"/>
    <w:rsid w:val="00836903"/>
    <w:rsid w:val="00837FA1"/>
    <w:rsid w:val="00841E9C"/>
    <w:rsid w:val="0084222F"/>
    <w:rsid w:val="00844E54"/>
    <w:rsid w:val="00854653"/>
    <w:rsid w:val="00861C11"/>
    <w:rsid w:val="0086254C"/>
    <w:rsid w:val="008844BD"/>
    <w:rsid w:val="00891267"/>
    <w:rsid w:val="0089318B"/>
    <w:rsid w:val="00893CB9"/>
    <w:rsid w:val="008A1BD5"/>
    <w:rsid w:val="008A5086"/>
    <w:rsid w:val="008A7E5C"/>
    <w:rsid w:val="008C2965"/>
    <w:rsid w:val="008D4E2C"/>
    <w:rsid w:val="008E17F4"/>
    <w:rsid w:val="008E52DC"/>
    <w:rsid w:val="00902361"/>
    <w:rsid w:val="0090687A"/>
    <w:rsid w:val="009078F0"/>
    <w:rsid w:val="00916D37"/>
    <w:rsid w:val="00917967"/>
    <w:rsid w:val="00921F6A"/>
    <w:rsid w:val="00927483"/>
    <w:rsid w:val="00931BAC"/>
    <w:rsid w:val="00936A8C"/>
    <w:rsid w:val="00941B66"/>
    <w:rsid w:val="00942379"/>
    <w:rsid w:val="009443AA"/>
    <w:rsid w:val="00946F41"/>
    <w:rsid w:val="009518D7"/>
    <w:rsid w:val="0095504C"/>
    <w:rsid w:val="0095546D"/>
    <w:rsid w:val="009618A0"/>
    <w:rsid w:val="0097108B"/>
    <w:rsid w:val="00973FC1"/>
    <w:rsid w:val="00977D9A"/>
    <w:rsid w:val="00984070"/>
    <w:rsid w:val="00984939"/>
    <w:rsid w:val="009A4CBE"/>
    <w:rsid w:val="009B1828"/>
    <w:rsid w:val="009B2C06"/>
    <w:rsid w:val="009B3D68"/>
    <w:rsid w:val="009B4546"/>
    <w:rsid w:val="009C2116"/>
    <w:rsid w:val="009D7983"/>
    <w:rsid w:val="009E0212"/>
    <w:rsid w:val="009E62C2"/>
    <w:rsid w:val="009E7190"/>
    <w:rsid w:val="009E72A5"/>
    <w:rsid w:val="009F13D2"/>
    <w:rsid w:val="009F3499"/>
    <w:rsid w:val="009F7A18"/>
    <w:rsid w:val="00A05D5E"/>
    <w:rsid w:val="00A07032"/>
    <w:rsid w:val="00A07286"/>
    <w:rsid w:val="00A11511"/>
    <w:rsid w:val="00A1540A"/>
    <w:rsid w:val="00A16437"/>
    <w:rsid w:val="00A23E14"/>
    <w:rsid w:val="00A240A8"/>
    <w:rsid w:val="00A3362E"/>
    <w:rsid w:val="00A37BAE"/>
    <w:rsid w:val="00A41C79"/>
    <w:rsid w:val="00A50148"/>
    <w:rsid w:val="00A672AD"/>
    <w:rsid w:val="00A82367"/>
    <w:rsid w:val="00A86FE3"/>
    <w:rsid w:val="00A9220F"/>
    <w:rsid w:val="00A95896"/>
    <w:rsid w:val="00A96AE0"/>
    <w:rsid w:val="00A97503"/>
    <w:rsid w:val="00AB434B"/>
    <w:rsid w:val="00AD7397"/>
    <w:rsid w:val="00AD7E0E"/>
    <w:rsid w:val="00AE28F6"/>
    <w:rsid w:val="00AE55A5"/>
    <w:rsid w:val="00AE63E4"/>
    <w:rsid w:val="00B075F8"/>
    <w:rsid w:val="00B124C4"/>
    <w:rsid w:val="00B141C4"/>
    <w:rsid w:val="00B2524E"/>
    <w:rsid w:val="00B279C9"/>
    <w:rsid w:val="00B32EA4"/>
    <w:rsid w:val="00B37002"/>
    <w:rsid w:val="00B5391A"/>
    <w:rsid w:val="00B610A5"/>
    <w:rsid w:val="00B62682"/>
    <w:rsid w:val="00B8233E"/>
    <w:rsid w:val="00BA10BB"/>
    <w:rsid w:val="00BB5BCE"/>
    <w:rsid w:val="00BD20BD"/>
    <w:rsid w:val="00BD2860"/>
    <w:rsid w:val="00BF1E69"/>
    <w:rsid w:val="00BF6896"/>
    <w:rsid w:val="00C113BC"/>
    <w:rsid w:val="00C40473"/>
    <w:rsid w:val="00C45858"/>
    <w:rsid w:val="00C462EE"/>
    <w:rsid w:val="00C544FF"/>
    <w:rsid w:val="00C55EC0"/>
    <w:rsid w:val="00C5657B"/>
    <w:rsid w:val="00C5788E"/>
    <w:rsid w:val="00C61B59"/>
    <w:rsid w:val="00C63311"/>
    <w:rsid w:val="00C64646"/>
    <w:rsid w:val="00C931F0"/>
    <w:rsid w:val="00C941FD"/>
    <w:rsid w:val="00CA070B"/>
    <w:rsid w:val="00CA39AD"/>
    <w:rsid w:val="00CA7024"/>
    <w:rsid w:val="00CB048E"/>
    <w:rsid w:val="00CD0F56"/>
    <w:rsid w:val="00CE384D"/>
    <w:rsid w:val="00CE45EE"/>
    <w:rsid w:val="00CE49BA"/>
    <w:rsid w:val="00CF588E"/>
    <w:rsid w:val="00CF73B1"/>
    <w:rsid w:val="00D06AA3"/>
    <w:rsid w:val="00D06EDC"/>
    <w:rsid w:val="00D16781"/>
    <w:rsid w:val="00D243EC"/>
    <w:rsid w:val="00D30C8D"/>
    <w:rsid w:val="00D411A5"/>
    <w:rsid w:val="00D45631"/>
    <w:rsid w:val="00D51D13"/>
    <w:rsid w:val="00D6270A"/>
    <w:rsid w:val="00D66A25"/>
    <w:rsid w:val="00D73E92"/>
    <w:rsid w:val="00D80BE5"/>
    <w:rsid w:val="00D90908"/>
    <w:rsid w:val="00D91B13"/>
    <w:rsid w:val="00D94DC1"/>
    <w:rsid w:val="00D96060"/>
    <w:rsid w:val="00D97F1E"/>
    <w:rsid w:val="00DA0C67"/>
    <w:rsid w:val="00DA4043"/>
    <w:rsid w:val="00DA5BEC"/>
    <w:rsid w:val="00DD0C3A"/>
    <w:rsid w:val="00DD5155"/>
    <w:rsid w:val="00DD6ECF"/>
    <w:rsid w:val="00DD7133"/>
    <w:rsid w:val="00DE01DE"/>
    <w:rsid w:val="00DE0E6A"/>
    <w:rsid w:val="00DF5B2E"/>
    <w:rsid w:val="00E01E93"/>
    <w:rsid w:val="00E04BA0"/>
    <w:rsid w:val="00E2627D"/>
    <w:rsid w:val="00E301CE"/>
    <w:rsid w:val="00E36803"/>
    <w:rsid w:val="00E45CEF"/>
    <w:rsid w:val="00E528D4"/>
    <w:rsid w:val="00E54898"/>
    <w:rsid w:val="00E614BE"/>
    <w:rsid w:val="00E71847"/>
    <w:rsid w:val="00E75442"/>
    <w:rsid w:val="00E756DF"/>
    <w:rsid w:val="00E757DE"/>
    <w:rsid w:val="00E77F9F"/>
    <w:rsid w:val="00E87720"/>
    <w:rsid w:val="00EA6880"/>
    <w:rsid w:val="00EB277E"/>
    <w:rsid w:val="00EE01C3"/>
    <w:rsid w:val="00F0525C"/>
    <w:rsid w:val="00F05B58"/>
    <w:rsid w:val="00F10E5A"/>
    <w:rsid w:val="00F12A81"/>
    <w:rsid w:val="00F164DA"/>
    <w:rsid w:val="00F62600"/>
    <w:rsid w:val="00F6527B"/>
    <w:rsid w:val="00F82F19"/>
    <w:rsid w:val="00F861B4"/>
    <w:rsid w:val="00FA730F"/>
    <w:rsid w:val="00FB1FF0"/>
    <w:rsid w:val="00FB3AF9"/>
    <w:rsid w:val="00FB40FA"/>
    <w:rsid w:val="00FC0FC0"/>
    <w:rsid w:val="00FE16F4"/>
    <w:rsid w:val="00FE1A83"/>
    <w:rsid w:val="00FE2015"/>
    <w:rsid w:val="00FF0C4E"/>
    <w:rsid w:val="00FF16CA"/>
    <w:rsid w:val="00FF398A"/>
    <w:rsid w:val="00FF4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69"/>
    <w:pPr>
      <w:spacing w:after="200" w:line="276" w:lineRule="auto"/>
      <w:jc w:val="both"/>
    </w:pPr>
    <w:rPr>
      <w:rFonts w:ascii="Arial" w:hAnsi="Arial" w:cs="Calibri"/>
      <w:sz w:val="22"/>
      <w:szCs w:val="22"/>
      <w:lang w:eastAsia="en-US"/>
    </w:rPr>
  </w:style>
  <w:style w:type="paragraph" w:styleId="Heading1">
    <w:name w:val="heading 1"/>
    <w:basedOn w:val="Heading2"/>
    <w:next w:val="Normal"/>
    <w:link w:val="Heading1Char"/>
    <w:qFormat/>
    <w:locked/>
    <w:rsid w:val="006C657E"/>
    <w:pPr>
      <w:spacing w:before="0" w:after="0"/>
      <w:outlineLvl w:val="0"/>
    </w:pPr>
    <w:rPr>
      <w:sz w:val="28"/>
      <w:szCs w:val="28"/>
    </w:rPr>
  </w:style>
  <w:style w:type="paragraph" w:styleId="Heading2">
    <w:name w:val="heading 2"/>
    <w:basedOn w:val="Normal"/>
    <w:next w:val="Normal"/>
    <w:link w:val="Heading2Char"/>
    <w:unhideWhenUsed/>
    <w:qFormat/>
    <w:locked/>
    <w:rsid w:val="006C657E"/>
    <w:pPr>
      <w:keepNext/>
      <w:spacing w:before="240" w:after="60"/>
      <w:outlineLvl w:val="1"/>
    </w:pPr>
    <w:rPr>
      <w:rFonts w:eastAsia="Times New Roman" w:cs="Arial"/>
      <w:b/>
      <w:bCs/>
      <w:iCs/>
      <w:sz w:val="24"/>
      <w:szCs w:val="24"/>
    </w:rPr>
  </w:style>
  <w:style w:type="paragraph" w:styleId="Heading3">
    <w:name w:val="heading 3"/>
    <w:basedOn w:val="Normal"/>
    <w:next w:val="Normal"/>
    <w:link w:val="Heading3Char"/>
    <w:unhideWhenUsed/>
    <w:qFormat/>
    <w:locked/>
    <w:rsid w:val="006E4F7E"/>
    <w:pPr>
      <w:spacing w:after="120"/>
      <w:outlineLvl w:val="2"/>
    </w:pPr>
    <w:rPr>
      <w:rFonts w:cs="Arial"/>
      <w:i/>
    </w:rPr>
  </w:style>
  <w:style w:type="paragraph" w:styleId="Heading4">
    <w:name w:val="heading 4"/>
    <w:basedOn w:val="text"/>
    <w:next w:val="Normal"/>
    <w:link w:val="Heading4Char"/>
    <w:unhideWhenUsed/>
    <w:qFormat/>
    <w:locked/>
    <w:rsid w:val="00C931F0"/>
    <w:pPr>
      <w:numPr>
        <w:numId w:val="3"/>
      </w:numPr>
      <w:spacing w:line="276" w:lineRule="auto"/>
      <w:jc w:val="both"/>
      <w:outlineLvl w:val="3"/>
    </w:pPr>
    <w:rPr>
      <w:rFonts w:ascii="Arial" w:hAnsi="Arial" w:cs="Arial"/>
      <w:i/>
      <w:sz w:val="22"/>
      <w:szCs w:val="22"/>
    </w:rPr>
  </w:style>
  <w:style w:type="paragraph" w:styleId="Heading5">
    <w:name w:val="heading 5"/>
    <w:basedOn w:val="Normal"/>
    <w:next w:val="Normal"/>
    <w:link w:val="Heading5Char"/>
    <w:unhideWhenUsed/>
    <w:qFormat/>
    <w:locked/>
    <w:rsid w:val="00504F69"/>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A8C"/>
    <w:rPr>
      <w:rFonts w:ascii="Tahoma" w:hAnsi="Tahoma" w:cs="Tahoma"/>
      <w:sz w:val="16"/>
      <w:szCs w:val="16"/>
    </w:rPr>
  </w:style>
  <w:style w:type="paragraph" w:styleId="ListParagraph">
    <w:name w:val="List Paragraph"/>
    <w:basedOn w:val="Normal"/>
    <w:uiPriority w:val="34"/>
    <w:qFormat/>
    <w:rsid w:val="00361622"/>
    <w:pPr>
      <w:ind w:left="720"/>
    </w:pPr>
  </w:style>
  <w:style w:type="table" w:styleId="TableGrid">
    <w:name w:val="Table Grid"/>
    <w:basedOn w:val="TableNormal"/>
    <w:uiPriority w:val="59"/>
    <w:rsid w:val="00FF0C4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C657E"/>
    <w:rPr>
      <w:rFonts w:ascii="Arial" w:eastAsia="Times New Roman" w:hAnsi="Arial" w:cs="Arial"/>
      <w:b/>
      <w:bCs/>
      <w:iCs/>
      <w:sz w:val="28"/>
      <w:szCs w:val="28"/>
      <w:lang w:eastAsia="en-US"/>
    </w:rPr>
  </w:style>
  <w:style w:type="character" w:customStyle="1" w:styleId="Heading2Char">
    <w:name w:val="Heading 2 Char"/>
    <w:basedOn w:val="DefaultParagraphFont"/>
    <w:link w:val="Heading2"/>
    <w:rsid w:val="006C657E"/>
    <w:rPr>
      <w:rFonts w:ascii="Arial" w:eastAsia="Times New Roman" w:hAnsi="Arial" w:cs="Arial"/>
      <w:b/>
      <w:bCs/>
      <w:iCs/>
      <w:sz w:val="24"/>
      <w:szCs w:val="24"/>
      <w:lang w:eastAsia="en-US"/>
    </w:rPr>
  </w:style>
  <w:style w:type="character" w:customStyle="1" w:styleId="Heading3Char">
    <w:name w:val="Heading 3 Char"/>
    <w:basedOn w:val="DefaultParagraphFont"/>
    <w:link w:val="Heading3"/>
    <w:rsid w:val="006E4F7E"/>
    <w:rPr>
      <w:rFonts w:ascii="Arial" w:hAnsi="Arial" w:cs="Arial"/>
      <w:i/>
      <w:sz w:val="22"/>
      <w:szCs w:val="22"/>
      <w:lang w:eastAsia="en-US"/>
    </w:rPr>
  </w:style>
  <w:style w:type="character" w:customStyle="1" w:styleId="Heading4Char">
    <w:name w:val="Heading 4 Char"/>
    <w:basedOn w:val="DefaultParagraphFont"/>
    <w:link w:val="Heading4"/>
    <w:rsid w:val="00C931F0"/>
    <w:rPr>
      <w:rFonts w:ascii="Arial" w:eastAsia="Times New Roman" w:hAnsi="Arial" w:cs="Arial"/>
      <w:i/>
      <w:sz w:val="22"/>
      <w:szCs w:val="22"/>
      <w:lang w:val="en-US" w:eastAsia="en-US"/>
    </w:rPr>
  </w:style>
  <w:style w:type="character" w:customStyle="1" w:styleId="Heading5Char">
    <w:name w:val="Heading 5 Char"/>
    <w:basedOn w:val="DefaultParagraphFont"/>
    <w:link w:val="Heading5"/>
    <w:rsid w:val="00504F69"/>
    <w:rPr>
      <w:rFonts w:ascii="Calibri" w:eastAsia="Times New Roman" w:hAnsi="Calibri" w:cs="Times New Roman"/>
      <w:b/>
      <w:bCs/>
      <w:i/>
      <w:iCs/>
      <w:sz w:val="26"/>
      <w:szCs w:val="26"/>
      <w:lang w:eastAsia="en-US"/>
    </w:rPr>
  </w:style>
  <w:style w:type="character" w:styleId="Hyperlink">
    <w:name w:val="Hyperlink"/>
    <w:basedOn w:val="DefaultParagraphFont"/>
    <w:uiPriority w:val="99"/>
    <w:semiHidden/>
    <w:unhideWhenUsed/>
    <w:rsid w:val="0062627B"/>
    <w:rPr>
      <w:color w:val="0000FF"/>
      <w:u w:val="single"/>
    </w:rPr>
  </w:style>
  <w:style w:type="character" w:customStyle="1" w:styleId="citation">
    <w:name w:val="citation"/>
    <w:basedOn w:val="DefaultParagraphFont"/>
    <w:rsid w:val="00D96060"/>
  </w:style>
  <w:style w:type="paragraph" w:styleId="Header">
    <w:name w:val="header"/>
    <w:basedOn w:val="Normal"/>
    <w:link w:val="HeaderChar"/>
    <w:uiPriority w:val="99"/>
    <w:unhideWhenUsed/>
    <w:rsid w:val="008054D5"/>
    <w:pPr>
      <w:tabs>
        <w:tab w:val="center" w:pos="4513"/>
        <w:tab w:val="right" w:pos="9026"/>
      </w:tabs>
    </w:pPr>
  </w:style>
  <w:style w:type="character" w:customStyle="1" w:styleId="HeaderChar">
    <w:name w:val="Header Char"/>
    <w:basedOn w:val="DefaultParagraphFont"/>
    <w:link w:val="Header"/>
    <w:uiPriority w:val="99"/>
    <w:rsid w:val="008054D5"/>
    <w:rPr>
      <w:rFonts w:ascii="Arial" w:hAnsi="Arial" w:cs="Calibri"/>
      <w:lang w:eastAsia="en-US"/>
    </w:rPr>
  </w:style>
  <w:style w:type="paragraph" w:styleId="Footer">
    <w:name w:val="footer"/>
    <w:basedOn w:val="Normal"/>
    <w:link w:val="FooterChar"/>
    <w:uiPriority w:val="99"/>
    <w:unhideWhenUsed/>
    <w:rsid w:val="008054D5"/>
    <w:pPr>
      <w:tabs>
        <w:tab w:val="center" w:pos="4513"/>
        <w:tab w:val="right" w:pos="9026"/>
      </w:tabs>
    </w:pPr>
  </w:style>
  <w:style w:type="character" w:customStyle="1" w:styleId="FooterChar">
    <w:name w:val="Footer Char"/>
    <w:basedOn w:val="DefaultParagraphFont"/>
    <w:link w:val="Footer"/>
    <w:uiPriority w:val="99"/>
    <w:rsid w:val="008054D5"/>
    <w:rPr>
      <w:rFonts w:ascii="Arial" w:hAnsi="Arial" w:cs="Calibri"/>
      <w:lang w:eastAsia="en-US"/>
    </w:rPr>
  </w:style>
  <w:style w:type="paragraph" w:styleId="NormalWeb">
    <w:name w:val="Normal (Web)"/>
    <w:basedOn w:val="Normal"/>
    <w:uiPriority w:val="99"/>
    <w:rsid w:val="004F7314"/>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odyText">
    <w:name w:val="Body Text"/>
    <w:basedOn w:val="Normal"/>
    <w:link w:val="BodyTextChar"/>
    <w:semiHidden/>
    <w:rsid w:val="004F7314"/>
    <w:pPr>
      <w:spacing w:after="0" w:line="36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F7314"/>
    <w:rPr>
      <w:rFonts w:ascii="Times New Roman" w:eastAsia="Times New Roman" w:hAnsi="Times New Roman"/>
      <w:sz w:val="24"/>
      <w:szCs w:val="24"/>
      <w:lang w:eastAsia="en-US"/>
    </w:rPr>
  </w:style>
  <w:style w:type="paragraph" w:customStyle="1" w:styleId="text">
    <w:name w:val="text"/>
    <w:basedOn w:val="Normal"/>
    <w:rsid w:val="004F7314"/>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F7314"/>
  </w:style>
  <w:style w:type="character" w:customStyle="1" w:styleId="apple-style-span">
    <w:name w:val="apple-style-span"/>
    <w:basedOn w:val="DefaultParagraphFont"/>
    <w:rsid w:val="004F7314"/>
  </w:style>
  <w:style w:type="paragraph" w:styleId="Title">
    <w:name w:val="Title"/>
    <w:basedOn w:val="Normal"/>
    <w:link w:val="TitleChar"/>
    <w:qFormat/>
    <w:locked/>
    <w:rsid w:val="0016497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64974"/>
    <w:rPr>
      <w:rFonts w:ascii="Times New Roman" w:eastAsia="Times New Roman" w:hAnsi="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3997">
      <w:bodyDiv w:val="1"/>
      <w:marLeft w:val="0"/>
      <w:marRight w:val="0"/>
      <w:marTop w:val="0"/>
      <w:marBottom w:val="0"/>
      <w:divBdr>
        <w:top w:val="none" w:sz="0" w:space="0" w:color="auto"/>
        <w:left w:val="none" w:sz="0" w:space="0" w:color="auto"/>
        <w:bottom w:val="none" w:sz="0" w:space="0" w:color="auto"/>
        <w:right w:val="none" w:sz="0" w:space="0" w:color="auto"/>
      </w:divBdr>
      <w:divsChild>
        <w:div w:id="2083258449">
          <w:marLeft w:val="274"/>
          <w:marRight w:val="0"/>
          <w:marTop w:val="0"/>
          <w:marBottom w:val="0"/>
          <w:divBdr>
            <w:top w:val="none" w:sz="0" w:space="0" w:color="auto"/>
            <w:left w:val="none" w:sz="0" w:space="0" w:color="auto"/>
            <w:bottom w:val="none" w:sz="0" w:space="0" w:color="auto"/>
            <w:right w:val="none" w:sz="0" w:space="0" w:color="auto"/>
          </w:divBdr>
        </w:div>
        <w:div w:id="54671922">
          <w:marLeft w:val="288"/>
          <w:marRight w:val="0"/>
          <w:marTop w:val="0"/>
          <w:marBottom w:val="0"/>
          <w:divBdr>
            <w:top w:val="none" w:sz="0" w:space="0" w:color="auto"/>
            <w:left w:val="none" w:sz="0" w:space="0" w:color="auto"/>
            <w:bottom w:val="none" w:sz="0" w:space="0" w:color="auto"/>
            <w:right w:val="none" w:sz="0" w:space="0" w:color="auto"/>
          </w:divBdr>
        </w:div>
        <w:div w:id="1928878184">
          <w:marLeft w:val="288"/>
          <w:marRight w:val="0"/>
          <w:marTop w:val="0"/>
          <w:marBottom w:val="0"/>
          <w:divBdr>
            <w:top w:val="none" w:sz="0" w:space="0" w:color="auto"/>
            <w:left w:val="none" w:sz="0" w:space="0" w:color="auto"/>
            <w:bottom w:val="none" w:sz="0" w:space="0" w:color="auto"/>
            <w:right w:val="none" w:sz="0" w:space="0" w:color="auto"/>
          </w:divBdr>
        </w:div>
        <w:div w:id="1878590520">
          <w:marLeft w:val="288"/>
          <w:marRight w:val="0"/>
          <w:marTop w:val="0"/>
          <w:marBottom w:val="0"/>
          <w:divBdr>
            <w:top w:val="none" w:sz="0" w:space="0" w:color="auto"/>
            <w:left w:val="none" w:sz="0" w:space="0" w:color="auto"/>
            <w:bottom w:val="none" w:sz="0" w:space="0" w:color="auto"/>
            <w:right w:val="none" w:sz="0" w:space="0" w:color="auto"/>
          </w:divBdr>
        </w:div>
        <w:div w:id="797144218">
          <w:marLeft w:val="288"/>
          <w:marRight w:val="0"/>
          <w:marTop w:val="0"/>
          <w:marBottom w:val="0"/>
          <w:divBdr>
            <w:top w:val="none" w:sz="0" w:space="0" w:color="auto"/>
            <w:left w:val="none" w:sz="0" w:space="0" w:color="auto"/>
            <w:bottom w:val="none" w:sz="0" w:space="0" w:color="auto"/>
            <w:right w:val="none" w:sz="0" w:space="0" w:color="auto"/>
          </w:divBdr>
        </w:div>
        <w:div w:id="1678118559">
          <w:marLeft w:val="288"/>
          <w:marRight w:val="0"/>
          <w:marTop w:val="0"/>
          <w:marBottom w:val="0"/>
          <w:divBdr>
            <w:top w:val="none" w:sz="0" w:space="0" w:color="auto"/>
            <w:left w:val="none" w:sz="0" w:space="0" w:color="auto"/>
            <w:bottom w:val="none" w:sz="0" w:space="0" w:color="auto"/>
            <w:right w:val="none" w:sz="0" w:space="0" w:color="auto"/>
          </w:divBdr>
        </w:div>
      </w:divsChild>
    </w:div>
    <w:div w:id="233009844">
      <w:bodyDiv w:val="1"/>
      <w:marLeft w:val="0"/>
      <w:marRight w:val="0"/>
      <w:marTop w:val="0"/>
      <w:marBottom w:val="0"/>
      <w:divBdr>
        <w:top w:val="none" w:sz="0" w:space="0" w:color="auto"/>
        <w:left w:val="none" w:sz="0" w:space="0" w:color="auto"/>
        <w:bottom w:val="none" w:sz="0" w:space="0" w:color="auto"/>
        <w:right w:val="none" w:sz="0" w:space="0" w:color="auto"/>
      </w:divBdr>
      <w:divsChild>
        <w:div w:id="603615424">
          <w:marLeft w:val="562"/>
          <w:marRight w:val="0"/>
          <w:marTop w:val="0"/>
          <w:marBottom w:val="0"/>
          <w:divBdr>
            <w:top w:val="none" w:sz="0" w:space="0" w:color="auto"/>
            <w:left w:val="none" w:sz="0" w:space="0" w:color="auto"/>
            <w:bottom w:val="none" w:sz="0" w:space="0" w:color="auto"/>
            <w:right w:val="none" w:sz="0" w:space="0" w:color="auto"/>
          </w:divBdr>
        </w:div>
      </w:divsChild>
    </w:div>
    <w:div w:id="379137912">
      <w:bodyDiv w:val="1"/>
      <w:marLeft w:val="0"/>
      <w:marRight w:val="0"/>
      <w:marTop w:val="0"/>
      <w:marBottom w:val="0"/>
      <w:divBdr>
        <w:top w:val="none" w:sz="0" w:space="0" w:color="auto"/>
        <w:left w:val="none" w:sz="0" w:space="0" w:color="auto"/>
        <w:bottom w:val="none" w:sz="0" w:space="0" w:color="auto"/>
        <w:right w:val="none" w:sz="0" w:space="0" w:color="auto"/>
      </w:divBdr>
      <w:divsChild>
        <w:div w:id="969475169">
          <w:marLeft w:val="288"/>
          <w:marRight w:val="0"/>
          <w:marTop w:val="0"/>
          <w:marBottom w:val="0"/>
          <w:divBdr>
            <w:top w:val="none" w:sz="0" w:space="0" w:color="auto"/>
            <w:left w:val="none" w:sz="0" w:space="0" w:color="auto"/>
            <w:bottom w:val="none" w:sz="0" w:space="0" w:color="auto"/>
            <w:right w:val="none" w:sz="0" w:space="0" w:color="auto"/>
          </w:divBdr>
        </w:div>
        <w:div w:id="356740971">
          <w:marLeft w:val="288"/>
          <w:marRight w:val="0"/>
          <w:marTop w:val="0"/>
          <w:marBottom w:val="120"/>
          <w:divBdr>
            <w:top w:val="none" w:sz="0" w:space="0" w:color="auto"/>
            <w:left w:val="none" w:sz="0" w:space="0" w:color="auto"/>
            <w:bottom w:val="none" w:sz="0" w:space="0" w:color="auto"/>
            <w:right w:val="none" w:sz="0" w:space="0" w:color="auto"/>
          </w:divBdr>
        </w:div>
        <w:div w:id="1756433785">
          <w:marLeft w:val="288"/>
          <w:marRight w:val="0"/>
          <w:marTop w:val="0"/>
          <w:marBottom w:val="120"/>
          <w:divBdr>
            <w:top w:val="none" w:sz="0" w:space="0" w:color="auto"/>
            <w:left w:val="none" w:sz="0" w:space="0" w:color="auto"/>
            <w:bottom w:val="none" w:sz="0" w:space="0" w:color="auto"/>
            <w:right w:val="none" w:sz="0" w:space="0" w:color="auto"/>
          </w:divBdr>
        </w:div>
        <w:div w:id="2004579929">
          <w:marLeft w:val="288"/>
          <w:marRight w:val="0"/>
          <w:marTop w:val="0"/>
          <w:marBottom w:val="120"/>
          <w:divBdr>
            <w:top w:val="none" w:sz="0" w:space="0" w:color="auto"/>
            <w:left w:val="none" w:sz="0" w:space="0" w:color="auto"/>
            <w:bottom w:val="none" w:sz="0" w:space="0" w:color="auto"/>
            <w:right w:val="none" w:sz="0" w:space="0" w:color="auto"/>
          </w:divBdr>
        </w:div>
        <w:div w:id="312956457">
          <w:marLeft w:val="288"/>
          <w:marRight w:val="0"/>
          <w:marTop w:val="0"/>
          <w:marBottom w:val="0"/>
          <w:divBdr>
            <w:top w:val="none" w:sz="0" w:space="0" w:color="auto"/>
            <w:left w:val="none" w:sz="0" w:space="0" w:color="auto"/>
            <w:bottom w:val="none" w:sz="0" w:space="0" w:color="auto"/>
            <w:right w:val="none" w:sz="0" w:space="0" w:color="auto"/>
          </w:divBdr>
        </w:div>
      </w:divsChild>
    </w:div>
    <w:div w:id="482084736">
      <w:bodyDiv w:val="1"/>
      <w:marLeft w:val="0"/>
      <w:marRight w:val="0"/>
      <w:marTop w:val="0"/>
      <w:marBottom w:val="0"/>
      <w:divBdr>
        <w:top w:val="none" w:sz="0" w:space="0" w:color="auto"/>
        <w:left w:val="none" w:sz="0" w:space="0" w:color="auto"/>
        <w:bottom w:val="none" w:sz="0" w:space="0" w:color="auto"/>
        <w:right w:val="none" w:sz="0" w:space="0" w:color="auto"/>
      </w:divBdr>
      <w:divsChild>
        <w:div w:id="566038537">
          <w:marLeft w:val="288"/>
          <w:marRight w:val="0"/>
          <w:marTop w:val="0"/>
          <w:marBottom w:val="0"/>
          <w:divBdr>
            <w:top w:val="none" w:sz="0" w:space="0" w:color="auto"/>
            <w:left w:val="none" w:sz="0" w:space="0" w:color="auto"/>
            <w:bottom w:val="none" w:sz="0" w:space="0" w:color="auto"/>
            <w:right w:val="none" w:sz="0" w:space="0" w:color="auto"/>
          </w:divBdr>
        </w:div>
        <w:div w:id="744500384">
          <w:marLeft w:val="1008"/>
          <w:marRight w:val="0"/>
          <w:marTop w:val="0"/>
          <w:marBottom w:val="0"/>
          <w:divBdr>
            <w:top w:val="none" w:sz="0" w:space="0" w:color="auto"/>
            <w:left w:val="none" w:sz="0" w:space="0" w:color="auto"/>
            <w:bottom w:val="none" w:sz="0" w:space="0" w:color="auto"/>
            <w:right w:val="none" w:sz="0" w:space="0" w:color="auto"/>
          </w:divBdr>
        </w:div>
        <w:div w:id="276907729">
          <w:marLeft w:val="1008"/>
          <w:marRight w:val="0"/>
          <w:marTop w:val="0"/>
          <w:marBottom w:val="0"/>
          <w:divBdr>
            <w:top w:val="none" w:sz="0" w:space="0" w:color="auto"/>
            <w:left w:val="none" w:sz="0" w:space="0" w:color="auto"/>
            <w:bottom w:val="none" w:sz="0" w:space="0" w:color="auto"/>
            <w:right w:val="none" w:sz="0" w:space="0" w:color="auto"/>
          </w:divBdr>
        </w:div>
        <w:div w:id="1024864902">
          <w:marLeft w:val="1008"/>
          <w:marRight w:val="0"/>
          <w:marTop w:val="0"/>
          <w:marBottom w:val="0"/>
          <w:divBdr>
            <w:top w:val="none" w:sz="0" w:space="0" w:color="auto"/>
            <w:left w:val="none" w:sz="0" w:space="0" w:color="auto"/>
            <w:bottom w:val="none" w:sz="0" w:space="0" w:color="auto"/>
            <w:right w:val="none" w:sz="0" w:space="0" w:color="auto"/>
          </w:divBdr>
        </w:div>
        <w:div w:id="313683795">
          <w:marLeft w:val="1008"/>
          <w:marRight w:val="0"/>
          <w:marTop w:val="0"/>
          <w:marBottom w:val="0"/>
          <w:divBdr>
            <w:top w:val="none" w:sz="0" w:space="0" w:color="auto"/>
            <w:left w:val="none" w:sz="0" w:space="0" w:color="auto"/>
            <w:bottom w:val="none" w:sz="0" w:space="0" w:color="auto"/>
            <w:right w:val="none" w:sz="0" w:space="0" w:color="auto"/>
          </w:divBdr>
        </w:div>
        <w:div w:id="1001616082">
          <w:marLeft w:val="1008"/>
          <w:marRight w:val="0"/>
          <w:marTop w:val="0"/>
          <w:marBottom w:val="120"/>
          <w:divBdr>
            <w:top w:val="none" w:sz="0" w:space="0" w:color="auto"/>
            <w:left w:val="none" w:sz="0" w:space="0" w:color="auto"/>
            <w:bottom w:val="none" w:sz="0" w:space="0" w:color="auto"/>
            <w:right w:val="none" w:sz="0" w:space="0" w:color="auto"/>
          </w:divBdr>
        </w:div>
      </w:divsChild>
    </w:div>
    <w:div w:id="515777024">
      <w:bodyDiv w:val="1"/>
      <w:marLeft w:val="0"/>
      <w:marRight w:val="0"/>
      <w:marTop w:val="0"/>
      <w:marBottom w:val="0"/>
      <w:divBdr>
        <w:top w:val="none" w:sz="0" w:space="0" w:color="auto"/>
        <w:left w:val="none" w:sz="0" w:space="0" w:color="auto"/>
        <w:bottom w:val="none" w:sz="0" w:space="0" w:color="auto"/>
        <w:right w:val="none" w:sz="0" w:space="0" w:color="auto"/>
      </w:divBdr>
    </w:div>
    <w:div w:id="650402035">
      <w:bodyDiv w:val="1"/>
      <w:marLeft w:val="0"/>
      <w:marRight w:val="0"/>
      <w:marTop w:val="0"/>
      <w:marBottom w:val="0"/>
      <w:divBdr>
        <w:top w:val="none" w:sz="0" w:space="0" w:color="auto"/>
        <w:left w:val="none" w:sz="0" w:space="0" w:color="auto"/>
        <w:bottom w:val="none" w:sz="0" w:space="0" w:color="auto"/>
        <w:right w:val="none" w:sz="0" w:space="0" w:color="auto"/>
      </w:divBdr>
    </w:div>
    <w:div w:id="716317901">
      <w:bodyDiv w:val="1"/>
      <w:marLeft w:val="0"/>
      <w:marRight w:val="0"/>
      <w:marTop w:val="0"/>
      <w:marBottom w:val="0"/>
      <w:divBdr>
        <w:top w:val="none" w:sz="0" w:space="0" w:color="auto"/>
        <w:left w:val="none" w:sz="0" w:space="0" w:color="auto"/>
        <w:bottom w:val="none" w:sz="0" w:space="0" w:color="auto"/>
        <w:right w:val="none" w:sz="0" w:space="0" w:color="auto"/>
      </w:divBdr>
    </w:div>
    <w:div w:id="899705313">
      <w:bodyDiv w:val="1"/>
      <w:marLeft w:val="0"/>
      <w:marRight w:val="0"/>
      <w:marTop w:val="0"/>
      <w:marBottom w:val="0"/>
      <w:divBdr>
        <w:top w:val="none" w:sz="0" w:space="0" w:color="auto"/>
        <w:left w:val="none" w:sz="0" w:space="0" w:color="auto"/>
        <w:bottom w:val="none" w:sz="0" w:space="0" w:color="auto"/>
        <w:right w:val="none" w:sz="0" w:space="0" w:color="auto"/>
      </w:divBdr>
      <w:divsChild>
        <w:div w:id="531265412">
          <w:marLeft w:val="720"/>
          <w:marRight w:val="0"/>
          <w:marTop w:val="0"/>
          <w:marBottom w:val="240"/>
          <w:divBdr>
            <w:top w:val="none" w:sz="0" w:space="0" w:color="auto"/>
            <w:left w:val="none" w:sz="0" w:space="0" w:color="auto"/>
            <w:bottom w:val="none" w:sz="0" w:space="0" w:color="auto"/>
            <w:right w:val="none" w:sz="0" w:space="0" w:color="auto"/>
          </w:divBdr>
        </w:div>
        <w:div w:id="940334491">
          <w:marLeft w:val="720"/>
          <w:marRight w:val="0"/>
          <w:marTop w:val="0"/>
          <w:marBottom w:val="240"/>
          <w:divBdr>
            <w:top w:val="none" w:sz="0" w:space="0" w:color="auto"/>
            <w:left w:val="none" w:sz="0" w:space="0" w:color="auto"/>
            <w:bottom w:val="none" w:sz="0" w:space="0" w:color="auto"/>
            <w:right w:val="none" w:sz="0" w:space="0" w:color="auto"/>
          </w:divBdr>
        </w:div>
        <w:div w:id="456918760">
          <w:marLeft w:val="720"/>
          <w:marRight w:val="0"/>
          <w:marTop w:val="0"/>
          <w:marBottom w:val="240"/>
          <w:divBdr>
            <w:top w:val="none" w:sz="0" w:space="0" w:color="auto"/>
            <w:left w:val="none" w:sz="0" w:space="0" w:color="auto"/>
            <w:bottom w:val="none" w:sz="0" w:space="0" w:color="auto"/>
            <w:right w:val="none" w:sz="0" w:space="0" w:color="auto"/>
          </w:divBdr>
        </w:div>
        <w:div w:id="2137333289">
          <w:marLeft w:val="720"/>
          <w:marRight w:val="0"/>
          <w:marTop w:val="0"/>
          <w:marBottom w:val="240"/>
          <w:divBdr>
            <w:top w:val="none" w:sz="0" w:space="0" w:color="auto"/>
            <w:left w:val="none" w:sz="0" w:space="0" w:color="auto"/>
            <w:bottom w:val="none" w:sz="0" w:space="0" w:color="auto"/>
            <w:right w:val="none" w:sz="0" w:space="0" w:color="auto"/>
          </w:divBdr>
        </w:div>
        <w:div w:id="363679757">
          <w:marLeft w:val="720"/>
          <w:marRight w:val="0"/>
          <w:marTop w:val="0"/>
          <w:marBottom w:val="240"/>
          <w:divBdr>
            <w:top w:val="none" w:sz="0" w:space="0" w:color="auto"/>
            <w:left w:val="none" w:sz="0" w:space="0" w:color="auto"/>
            <w:bottom w:val="none" w:sz="0" w:space="0" w:color="auto"/>
            <w:right w:val="none" w:sz="0" w:space="0" w:color="auto"/>
          </w:divBdr>
        </w:div>
      </w:divsChild>
    </w:div>
    <w:div w:id="1049501550">
      <w:bodyDiv w:val="1"/>
      <w:marLeft w:val="0"/>
      <w:marRight w:val="0"/>
      <w:marTop w:val="0"/>
      <w:marBottom w:val="0"/>
      <w:divBdr>
        <w:top w:val="none" w:sz="0" w:space="0" w:color="auto"/>
        <w:left w:val="none" w:sz="0" w:space="0" w:color="auto"/>
        <w:bottom w:val="none" w:sz="0" w:space="0" w:color="auto"/>
        <w:right w:val="none" w:sz="0" w:space="0" w:color="auto"/>
      </w:divBdr>
    </w:div>
    <w:div w:id="1091968314">
      <w:bodyDiv w:val="1"/>
      <w:marLeft w:val="0"/>
      <w:marRight w:val="0"/>
      <w:marTop w:val="0"/>
      <w:marBottom w:val="0"/>
      <w:divBdr>
        <w:top w:val="none" w:sz="0" w:space="0" w:color="auto"/>
        <w:left w:val="none" w:sz="0" w:space="0" w:color="auto"/>
        <w:bottom w:val="none" w:sz="0" w:space="0" w:color="auto"/>
        <w:right w:val="none" w:sz="0" w:space="0" w:color="auto"/>
      </w:divBdr>
    </w:div>
    <w:div w:id="1120489120">
      <w:bodyDiv w:val="1"/>
      <w:marLeft w:val="0"/>
      <w:marRight w:val="0"/>
      <w:marTop w:val="0"/>
      <w:marBottom w:val="0"/>
      <w:divBdr>
        <w:top w:val="none" w:sz="0" w:space="0" w:color="auto"/>
        <w:left w:val="none" w:sz="0" w:space="0" w:color="auto"/>
        <w:bottom w:val="none" w:sz="0" w:space="0" w:color="auto"/>
        <w:right w:val="none" w:sz="0" w:space="0" w:color="auto"/>
      </w:divBdr>
    </w:div>
    <w:div w:id="1202596633">
      <w:bodyDiv w:val="1"/>
      <w:marLeft w:val="0"/>
      <w:marRight w:val="0"/>
      <w:marTop w:val="0"/>
      <w:marBottom w:val="0"/>
      <w:divBdr>
        <w:top w:val="none" w:sz="0" w:space="0" w:color="auto"/>
        <w:left w:val="none" w:sz="0" w:space="0" w:color="auto"/>
        <w:bottom w:val="none" w:sz="0" w:space="0" w:color="auto"/>
        <w:right w:val="none" w:sz="0" w:space="0" w:color="auto"/>
      </w:divBdr>
    </w:div>
    <w:div w:id="1402871840">
      <w:bodyDiv w:val="1"/>
      <w:marLeft w:val="0"/>
      <w:marRight w:val="0"/>
      <w:marTop w:val="0"/>
      <w:marBottom w:val="0"/>
      <w:divBdr>
        <w:top w:val="none" w:sz="0" w:space="0" w:color="auto"/>
        <w:left w:val="none" w:sz="0" w:space="0" w:color="auto"/>
        <w:bottom w:val="none" w:sz="0" w:space="0" w:color="auto"/>
        <w:right w:val="none" w:sz="0" w:space="0" w:color="auto"/>
      </w:divBdr>
    </w:div>
    <w:div w:id="1672680693">
      <w:bodyDiv w:val="1"/>
      <w:marLeft w:val="0"/>
      <w:marRight w:val="0"/>
      <w:marTop w:val="0"/>
      <w:marBottom w:val="0"/>
      <w:divBdr>
        <w:top w:val="none" w:sz="0" w:space="0" w:color="auto"/>
        <w:left w:val="none" w:sz="0" w:space="0" w:color="auto"/>
        <w:bottom w:val="none" w:sz="0" w:space="0" w:color="auto"/>
        <w:right w:val="none" w:sz="0" w:space="0" w:color="auto"/>
      </w:divBdr>
      <w:divsChild>
        <w:div w:id="1960599072">
          <w:marLeft w:val="288"/>
          <w:marRight w:val="0"/>
          <w:marTop w:val="0"/>
          <w:marBottom w:val="0"/>
          <w:divBdr>
            <w:top w:val="none" w:sz="0" w:space="0" w:color="auto"/>
            <w:left w:val="none" w:sz="0" w:space="0" w:color="auto"/>
            <w:bottom w:val="none" w:sz="0" w:space="0" w:color="auto"/>
            <w:right w:val="none" w:sz="0" w:space="0" w:color="auto"/>
          </w:divBdr>
        </w:div>
        <w:div w:id="350764689">
          <w:marLeft w:val="288"/>
          <w:marRight w:val="0"/>
          <w:marTop w:val="0"/>
          <w:marBottom w:val="0"/>
          <w:divBdr>
            <w:top w:val="none" w:sz="0" w:space="0" w:color="auto"/>
            <w:left w:val="none" w:sz="0" w:space="0" w:color="auto"/>
            <w:bottom w:val="none" w:sz="0" w:space="0" w:color="auto"/>
            <w:right w:val="none" w:sz="0" w:space="0" w:color="auto"/>
          </w:divBdr>
        </w:div>
        <w:div w:id="560218678">
          <w:marLeft w:val="288"/>
          <w:marRight w:val="0"/>
          <w:marTop w:val="0"/>
          <w:marBottom w:val="0"/>
          <w:divBdr>
            <w:top w:val="none" w:sz="0" w:space="0" w:color="auto"/>
            <w:left w:val="none" w:sz="0" w:space="0" w:color="auto"/>
            <w:bottom w:val="none" w:sz="0" w:space="0" w:color="auto"/>
            <w:right w:val="none" w:sz="0" w:space="0" w:color="auto"/>
          </w:divBdr>
        </w:div>
        <w:div w:id="81536327">
          <w:marLeft w:val="288"/>
          <w:marRight w:val="0"/>
          <w:marTop w:val="0"/>
          <w:marBottom w:val="0"/>
          <w:divBdr>
            <w:top w:val="none" w:sz="0" w:space="0" w:color="auto"/>
            <w:left w:val="none" w:sz="0" w:space="0" w:color="auto"/>
            <w:bottom w:val="none" w:sz="0" w:space="0" w:color="auto"/>
            <w:right w:val="none" w:sz="0" w:space="0" w:color="auto"/>
          </w:divBdr>
        </w:div>
        <w:div w:id="1830174013">
          <w:marLeft w:val="288"/>
          <w:marRight w:val="0"/>
          <w:marTop w:val="0"/>
          <w:marBottom w:val="0"/>
          <w:divBdr>
            <w:top w:val="none" w:sz="0" w:space="0" w:color="auto"/>
            <w:left w:val="none" w:sz="0" w:space="0" w:color="auto"/>
            <w:bottom w:val="none" w:sz="0" w:space="0" w:color="auto"/>
            <w:right w:val="none" w:sz="0" w:space="0" w:color="auto"/>
          </w:divBdr>
        </w:div>
      </w:divsChild>
    </w:div>
    <w:div w:id="1692296755">
      <w:bodyDiv w:val="1"/>
      <w:marLeft w:val="0"/>
      <w:marRight w:val="0"/>
      <w:marTop w:val="0"/>
      <w:marBottom w:val="0"/>
      <w:divBdr>
        <w:top w:val="none" w:sz="0" w:space="0" w:color="auto"/>
        <w:left w:val="none" w:sz="0" w:space="0" w:color="auto"/>
        <w:bottom w:val="none" w:sz="0" w:space="0" w:color="auto"/>
        <w:right w:val="none" w:sz="0" w:space="0" w:color="auto"/>
      </w:divBdr>
      <w:divsChild>
        <w:div w:id="1858762881">
          <w:marLeft w:val="288"/>
          <w:marRight w:val="0"/>
          <w:marTop w:val="0"/>
          <w:marBottom w:val="0"/>
          <w:divBdr>
            <w:top w:val="none" w:sz="0" w:space="0" w:color="auto"/>
            <w:left w:val="none" w:sz="0" w:space="0" w:color="auto"/>
            <w:bottom w:val="none" w:sz="0" w:space="0" w:color="auto"/>
            <w:right w:val="none" w:sz="0" w:space="0" w:color="auto"/>
          </w:divBdr>
        </w:div>
        <w:div w:id="601114137">
          <w:marLeft w:val="288"/>
          <w:marRight w:val="0"/>
          <w:marTop w:val="0"/>
          <w:marBottom w:val="0"/>
          <w:divBdr>
            <w:top w:val="none" w:sz="0" w:space="0" w:color="auto"/>
            <w:left w:val="none" w:sz="0" w:space="0" w:color="auto"/>
            <w:bottom w:val="none" w:sz="0" w:space="0" w:color="auto"/>
            <w:right w:val="none" w:sz="0" w:space="0" w:color="auto"/>
          </w:divBdr>
        </w:div>
        <w:div w:id="1232430275">
          <w:marLeft w:val="288"/>
          <w:marRight w:val="0"/>
          <w:marTop w:val="0"/>
          <w:marBottom w:val="0"/>
          <w:divBdr>
            <w:top w:val="none" w:sz="0" w:space="0" w:color="auto"/>
            <w:left w:val="none" w:sz="0" w:space="0" w:color="auto"/>
            <w:bottom w:val="none" w:sz="0" w:space="0" w:color="auto"/>
            <w:right w:val="none" w:sz="0" w:space="0" w:color="auto"/>
          </w:divBdr>
        </w:div>
        <w:div w:id="937370303">
          <w:marLeft w:val="288"/>
          <w:marRight w:val="0"/>
          <w:marTop w:val="0"/>
          <w:marBottom w:val="120"/>
          <w:divBdr>
            <w:top w:val="none" w:sz="0" w:space="0" w:color="auto"/>
            <w:left w:val="none" w:sz="0" w:space="0" w:color="auto"/>
            <w:bottom w:val="none" w:sz="0" w:space="0" w:color="auto"/>
            <w:right w:val="none" w:sz="0" w:space="0" w:color="auto"/>
          </w:divBdr>
        </w:div>
        <w:div w:id="371000633">
          <w:marLeft w:val="288"/>
          <w:marRight w:val="0"/>
          <w:marTop w:val="0"/>
          <w:marBottom w:val="0"/>
          <w:divBdr>
            <w:top w:val="none" w:sz="0" w:space="0" w:color="auto"/>
            <w:left w:val="none" w:sz="0" w:space="0" w:color="auto"/>
            <w:bottom w:val="none" w:sz="0" w:space="0" w:color="auto"/>
            <w:right w:val="none" w:sz="0" w:space="0" w:color="auto"/>
          </w:divBdr>
        </w:div>
        <w:div w:id="1416978246">
          <w:marLeft w:val="288"/>
          <w:marRight w:val="0"/>
          <w:marTop w:val="0"/>
          <w:marBottom w:val="120"/>
          <w:divBdr>
            <w:top w:val="none" w:sz="0" w:space="0" w:color="auto"/>
            <w:left w:val="none" w:sz="0" w:space="0" w:color="auto"/>
            <w:bottom w:val="none" w:sz="0" w:space="0" w:color="auto"/>
            <w:right w:val="none" w:sz="0" w:space="0" w:color="auto"/>
          </w:divBdr>
        </w:div>
        <w:div w:id="179347669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22F1-F502-42F4-975A-2B5C60C2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6462FF4F</Template>
  <TotalTime>1300</TotalTime>
  <Pages>9</Pages>
  <Words>2339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Sohag</dc:creator>
  <cp:lastModifiedBy>Saleh, Sohag N</cp:lastModifiedBy>
  <cp:revision>41</cp:revision>
  <cp:lastPrinted>2013-05-08T13:30:00Z</cp:lastPrinted>
  <dcterms:created xsi:type="dcterms:W3CDTF">2013-04-29T18:32:00Z</dcterms:created>
  <dcterms:modified xsi:type="dcterms:W3CDTF">2013-05-08T13:33:00Z</dcterms:modified>
</cp:coreProperties>
</file>