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2A" w:rsidRPr="00202138" w:rsidRDefault="0073662A" w:rsidP="0073662A">
      <w:pPr>
        <w:pStyle w:val="Heading2"/>
        <w:rPr>
          <w:rFonts w:ascii="Arial" w:hAnsi="Arial" w:cs="Arial"/>
          <w:sz w:val="28"/>
          <w:szCs w:val="28"/>
        </w:rPr>
      </w:pPr>
      <w:bookmarkStart w:id="0" w:name="_Toc266973526"/>
      <w:r w:rsidRPr="00202138">
        <w:rPr>
          <w:rFonts w:ascii="Arial" w:hAnsi="Arial" w:cs="Arial"/>
          <w:sz w:val="28"/>
          <w:szCs w:val="28"/>
        </w:rPr>
        <w:t>2.  The Clinical Portfolio</w:t>
      </w:r>
      <w:bookmarkEnd w:id="0"/>
    </w:p>
    <w:p w:rsidR="0073662A" w:rsidRPr="00202138" w:rsidRDefault="0073662A" w:rsidP="0073662A">
      <w:pPr>
        <w:rPr>
          <w:rFonts w:ascii="Arial" w:hAnsi="Arial" w:cs="Arial"/>
          <w:b/>
          <w:sz w:val="28"/>
          <w:szCs w:val="28"/>
        </w:rPr>
      </w:pPr>
    </w:p>
    <w:p w:rsidR="0073662A" w:rsidRDefault="0073662A" w:rsidP="0073662A">
      <w:pPr>
        <w:rPr>
          <w:rFonts w:ascii="Arial" w:hAnsi="Arial" w:cs="Arial"/>
          <w:sz w:val="22"/>
          <w:szCs w:val="22"/>
        </w:rPr>
      </w:pPr>
      <w:r w:rsidRPr="00202138">
        <w:rPr>
          <w:rFonts w:ascii="Arial" w:hAnsi="Arial" w:cs="Arial"/>
          <w:sz w:val="22"/>
          <w:szCs w:val="22"/>
        </w:rPr>
        <w:t>Portfolios are increasingly being used in both undergraduate and postgraduate education. They fulfill a number of objectives, the most basic being to provide you with a structure with which to log your work, experiences and achievements. In addition, when used creatively they can provide a framework for professional reflection. We hope you will use the GPSA portfolio for both these important functions. Personal reflection is both an essential aspect of our professional development and a GMC obligation. A doctor who doesn’t reflect on his/her practice will not develop and ultimately puts their patients at risk. Students at medical school have a lot of clinical exposure and experiences, but the experiences themselves are not enough for real learning. It is only when one reflects on an experience that one can learn from it. This theory was famously expounded by the educationalist David Kolb:</w:t>
      </w: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r>
        <w:rPr>
          <w:noProof/>
          <w:sz w:val="16"/>
          <w:lang w:val="en-GB" w:eastAsia="en-GB"/>
        </w:rPr>
        <w:drawing>
          <wp:anchor distT="1345" distB="2297" distL="206219" distR="207459" simplePos="0" relativeHeight="251659264" behindDoc="0" locked="0" layoutInCell="1" allowOverlap="1">
            <wp:simplePos x="0" y="0"/>
            <wp:positionH relativeFrom="column">
              <wp:posOffset>1279877</wp:posOffset>
            </wp:positionH>
            <wp:positionV relativeFrom="paragraph">
              <wp:posOffset>107644</wp:posOffset>
            </wp:positionV>
            <wp:extent cx="3144520" cy="1628140"/>
            <wp:effectExtent l="0" t="0" r="0" b="0"/>
            <wp:wrapNone/>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202138">
        <w:rPr>
          <w:rFonts w:ascii="Arial" w:hAnsi="Arial" w:cs="Arial"/>
          <w:sz w:val="22"/>
          <w:szCs w:val="22"/>
        </w:rPr>
        <w:t>Kolb cycle:</w:t>
      </w:r>
    </w:p>
    <w:p w:rsidR="0073662A" w:rsidRPr="00383973" w:rsidRDefault="0073662A" w:rsidP="0073662A">
      <w:pPr>
        <w:rPr>
          <w:rFonts w:ascii="Arial" w:hAnsi="Arial" w:cs="Arial"/>
          <w:sz w:val="18"/>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r w:rsidRPr="00202138">
        <w:rPr>
          <w:rFonts w:ascii="Arial" w:hAnsi="Arial" w:cs="Arial"/>
          <w:sz w:val="22"/>
          <w:szCs w:val="22"/>
        </w:rPr>
        <w:t xml:space="preserve">It is no coincidence that the GMC is planning to use portfolios as the basis for revalidation of all doctors in all specialties, and being able to show evidence </w:t>
      </w:r>
      <w:bookmarkStart w:id="1" w:name="_GoBack"/>
      <w:bookmarkEnd w:id="1"/>
      <w:r w:rsidRPr="00202138">
        <w:rPr>
          <w:rFonts w:ascii="Arial" w:hAnsi="Arial" w:cs="Arial"/>
          <w:sz w:val="22"/>
          <w:szCs w:val="22"/>
        </w:rPr>
        <w:t>of reflection (in terms of audits, SEAs and case reports) will be essential.</w:t>
      </w:r>
    </w:p>
    <w:p w:rsidR="0073662A" w:rsidRPr="00383973" w:rsidRDefault="0073662A" w:rsidP="0073662A">
      <w:pPr>
        <w:rPr>
          <w:rFonts w:ascii="Arial" w:hAnsi="Arial" w:cs="Arial"/>
          <w:sz w:val="18"/>
          <w:szCs w:val="22"/>
        </w:rPr>
      </w:pPr>
    </w:p>
    <w:p w:rsidR="0073662A" w:rsidRPr="00202138" w:rsidRDefault="0073662A" w:rsidP="0073662A">
      <w:pPr>
        <w:rPr>
          <w:rFonts w:ascii="Arial" w:hAnsi="Arial" w:cs="Arial"/>
          <w:sz w:val="22"/>
          <w:szCs w:val="22"/>
        </w:rPr>
      </w:pPr>
      <w:r w:rsidRPr="00202138">
        <w:rPr>
          <w:rFonts w:ascii="Arial" w:hAnsi="Arial" w:cs="Arial"/>
          <w:sz w:val="22"/>
          <w:szCs w:val="22"/>
        </w:rPr>
        <w:t xml:space="preserve">Your portfolio will have a few fixed elements. </w:t>
      </w:r>
      <w:proofErr w:type="gramStart"/>
      <w:r w:rsidR="00CB5FDC">
        <w:rPr>
          <w:rFonts w:ascii="Arial" w:hAnsi="Arial" w:cs="Arial"/>
          <w:sz w:val="22"/>
          <w:szCs w:val="22"/>
        </w:rPr>
        <w:t>R</w:t>
      </w:r>
      <w:r w:rsidRPr="00202138">
        <w:rPr>
          <w:rFonts w:ascii="Arial" w:hAnsi="Arial" w:cs="Arial"/>
          <w:sz w:val="22"/>
          <w:szCs w:val="22"/>
        </w:rPr>
        <w:t>ecord basic aspects of your practice’s team and demography</w:t>
      </w:r>
      <w:r w:rsidR="00C15E09">
        <w:rPr>
          <w:rFonts w:ascii="Arial" w:hAnsi="Arial" w:cs="Arial"/>
          <w:sz w:val="22"/>
          <w:szCs w:val="22"/>
        </w:rPr>
        <w:t xml:space="preserve"> on this </w:t>
      </w:r>
      <w:hyperlink r:id="rId11" w:history="1">
        <w:r w:rsidR="00C15E09" w:rsidRPr="00C15E09">
          <w:rPr>
            <w:rStyle w:val="Hyperlink"/>
            <w:rFonts w:ascii="Arial" w:hAnsi="Arial" w:cs="Arial"/>
            <w:sz w:val="22"/>
            <w:szCs w:val="22"/>
          </w:rPr>
          <w:t>sheet</w:t>
        </w:r>
      </w:hyperlink>
      <w:r w:rsidR="00C15E09">
        <w:rPr>
          <w:rFonts w:ascii="Arial" w:hAnsi="Arial" w:cs="Arial"/>
          <w:sz w:val="22"/>
          <w:szCs w:val="22"/>
        </w:rPr>
        <w:t>.</w:t>
      </w:r>
      <w:proofErr w:type="gramEnd"/>
      <w:r w:rsidRPr="00202138">
        <w:rPr>
          <w:rFonts w:ascii="Arial" w:hAnsi="Arial" w:cs="Arial"/>
          <w:sz w:val="22"/>
          <w:szCs w:val="22"/>
        </w:rPr>
        <w:t xml:space="preserve"> </w:t>
      </w:r>
      <w:r w:rsidR="00C15E09">
        <w:rPr>
          <w:rFonts w:ascii="Arial" w:hAnsi="Arial" w:cs="Arial"/>
          <w:sz w:val="22"/>
          <w:szCs w:val="22"/>
        </w:rPr>
        <w:t xml:space="preserve"> </w:t>
      </w:r>
      <w:r w:rsidRPr="00202138">
        <w:rPr>
          <w:rFonts w:ascii="Arial" w:hAnsi="Arial" w:cs="Arial"/>
          <w:sz w:val="22"/>
          <w:szCs w:val="22"/>
        </w:rPr>
        <w:t xml:space="preserve">We suggest you complete this early on in your attachment as it will allow you to put what you are seeing into context.  </w:t>
      </w:r>
    </w:p>
    <w:p w:rsidR="0073662A" w:rsidRPr="00383973" w:rsidRDefault="0073662A" w:rsidP="0073662A">
      <w:pPr>
        <w:rPr>
          <w:rFonts w:ascii="Arial" w:hAnsi="Arial" w:cs="Arial"/>
          <w:sz w:val="18"/>
          <w:szCs w:val="22"/>
        </w:rPr>
      </w:pPr>
    </w:p>
    <w:p w:rsidR="0073662A" w:rsidRPr="00202138" w:rsidRDefault="0073662A" w:rsidP="0073662A">
      <w:pPr>
        <w:rPr>
          <w:rFonts w:ascii="Arial" w:hAnsi="Arial" w:cs="Arial"/>
          <w:b/>
          <w:sz w:val="22"/>
        </w:rPr>
      </w:pPr>
      <w:r w:rsidRPr="00202138">
        <w:rPr>
          <w:rFonts w:ascii="Arial" w:hAnsi="Arial" w:cs="Arial"/>
          <w:b/>
          <w:sz w:val="22"/>
        </w:rPr>
        <w:t>Recording consultations</w:t>
      </w:r>
    </w:p>
    <w:p w:rsidR="0073662A" w:rsidRPr="00202138" w:rsidRDefault="0073662A" w:rsidP="0073662A">
      <w:pPr>
        <w:rPr>
          <w:rFonts w:ascii="Arial" w:hAnsi="Arial" w:cs="Arial"/>
          <w:sz w:val="22"/>
        </w:rPr>
      </w:pPr>
      <w:r w:rsidRPr="00202138">
        <w:rPr>
          <w:rFonts w:ascii="Arial" w:hAnsi="Arial" w:cs="Arial"/>
          <w:sz w:val="22"/>
        </w:rPr>
        <w:t>You are required to write a</w:t>
      </w:r>
      <w:r w:rsidRPr="00202138">
        <w:rPr>
          <w:rFonts w:ascii="Arial" w:hAnsi="Arial" w:cs="Arial"/>
          <w:i/>
          <w:sz w:val="22"/>
        </w:rPr>
        <w:t xml:space="preserve"> brief</w:t>
      </w:r>
      <w:r w:rsidRPr="00202138">
        <w:rPr>
          <w:rFonts w:ascii="Arial" w:hAnsi="Arial" w:cs="Arial"/>
          <w:sz w:val="22"/>
        </w:rPr>
        <w:t xml:space="preserve"> report on at least six of your own consultations during your attachment. Without wishing to be too prescriptive we would like you to try to </w:t>
      </w:r>
      <w:r>
        <w:rPr>
          <w:rFonts w:ascii="Arial" w:hAnsi="Arial" w:cs="Arial"/>
          <w:sz w:val="22"/>
        </w:rPr>
        <w:t xml:space="preserve">include some of </w:t>
      </w:r>
      <w:r w:rsidRPr="00202138">
        <w:rPr>
          <w:rFonts w:ascii="Arial" w:hAnsi="Arial" w:cs="Arial"/>
          <w:sz w:val="22"/>
        </w:rPr>
        <w:t>the following topics:</w:t>
      </w:r>
    </w:p>
    <w:p w:rsidR="0073662A" w:rsidRPr="00202138" w:rsidRDefault="0073662A" w:rsidP="0073662A">
      <w:pPr>
        <w:pStyle w:val="ListParagraph"/>
        <w:numPr>
          <w:ilvl w:val="2"/>
          <w:numId w:val="1"/>
        </w:numPr>
        <w:tabs>
          <w:tab w:val="clear" w:pos="2160"/>
          <w:tab w:val="num" w:pos="993"/>
        </w:tabs>
        <w:suppressAutoHyphens w:val="0"/>
        <w:ind w:left="993" w:hanging="284"/>
      </w:pPr>
      <w:r w:rsidRPr="00202138">
        <w:t>Diabetes</w:t>
      </w:r>
    </w:p>
    <w:p w:rsidR="0073662A" w:rsidRPr="00202138" w:rsidRDefault="0073662A" w:rsidP="0073662A">
      <w:pPr>
        <w:pStyle w:val="ListParagraph"/>
        <w:numPr>
          <w:ilvl w:val="2"/>
          <w:numId w:val="5"/>
        </w:numPr>
        <w:tabs>
          <w:tab w:val="clear" w:pos="2160"/>
          <w:tab w:val="num" w:pos="993"/>
        </w:tabs>
        <w:suppressAutoHyphens w:val="0"/>
        <w:ind w:left="993" w:hanging="284"/>
      </w:pPr>
      <w:r w:rsidRPr="00202138">
        <w:t>Cardiovascular disease</w:t>
      </w:r>
    </w:p>
    <w:p w:rsidR="0073662A" w:rsidRPr="00202138" w:rsidRDefault="0073662A" w:rsidP="0073662A">
      <w:pPr>
        <w:pStyle w:val="ListParagraph"/>
        <w:numPr>
          <w:ilvl w:val="2"/>
          <w:numId w:val="5"/>
        </w:numPr>
        <w:tabs>
          <w:tab w:val="clear" w:pos="2160"/>
          <w:tab w:val="num" w:pos="993"/>
        </w:tabs>
        <w:suppressAutoHyphens w:val="0"/>
        <w:ind w:left="993" w:hanging="284"/>
      </w:pPr>
      <w:r w:rsidRPr="00202138">
        <w:t>Hypertension</w:t>
      </w:r>
    </w:p>
    <w:p w:rsidR="0073662A" w:rsidRPr="00202138" w:rsidRDefault="0073662A" w:rsidP="0073662A">
      <w:pPr>
        <w:pStyle w:val="ListParagraph"/>
        <w:numPr>
          <w:ilvl w:val="2"/>
          <w:numId w:val="5"/>
        </w:numPr>
        <w:tabs>
          <w:tab w:val="clear" w:pos="2160"/>
          <w:tab w:val="num" w:pos="993"/>
        </w:tabs>
        <w:suppressAutoHyphens w:val="0"/>
        <w:ind w:left="993" w:hanging="284"/>
      </w:pPr>
      <w:r w:rsidRPr="00202138">
        <w:t>COPD</w:t>
      </w:r>
    </w:p>
    <w:p w:rsidR="0073662A" w:rsidRDefault="0073662A" w:rsidP="0073662A">
      <w:pPr>
        <w:pStyle w:val="ListParagraph"/>
        <w:numPr>
          <w:ilvl w:val="2"/>
          <w:numId w:val="5"/>
        </w:numPr>
        <w:tabs>
          <w:tab w:val="clear" w:pos="2160"/>
          <w:tab w:val="num" w:pos="993"/>
        </w:tabs>
        <w:suppressAutoHyphens w:val="0"/>
        <w:ind w:left="993" w:hanging="284"/>
      </w:pPr>
      <w:r w:rsidRPr="00202138">
        <w:t>Asthma</w:t>
      </w:r>
    </w:p>
    <w:p w:rsidR="0073662A" w:rsidRDefault="0073662A" w:rsidP="0073662A">
      <w:pPr>
        <w:pStyle w:val="ListParagraph"/>
        <w:numPr>
          <w:ilvl w:val="2"/>
          <w:numId w:val="5"/>
        </w:numPr>
        <w:tabs>
          <w:tab w:val="clear" w:pos="2160"/>
          <w:tab w:val="num" w:pos="993"/>
        </w:tabs>
        <w:suppressAutoHyphens w:val="0"/>
        <w:ind w:left="993" w:hanging="284"/>
      </w:pPr>
      <w:r>
        <w:t xml:space="preserve">Chronic </w:t>
      </w:r>
      <w:proofErr w:type="spellStart"/>
      <w:r>
        <w:t>rheumatological</w:t>
      </w:r>
      <w:proofErr w:type="spellEnd"/>
      <w:r>
        <w:t xml:space="preserve"> condition</w:t>
      </w:r>
    </w:p>
    <w:p w:rsidR="0073662A" w:rsidRPr="00202138" w:rsidRDefault="0073662A" w:rsidP="0073662A">
      <w:pPr>
        <w:pStyle w:val="ListParagraph"/>
        <w:numPr>
          <w:ilvl w:val="2"/>
          <w:numId w:val="5"/>
        </w:numPr>
        <w:tabs>
          <w:tab w:val="clear" w:pos="2160"/>
          <w:tab w:val="num" w:pos="993"/>
        </w:tabs>
        <w:suppressAutoHyphens w:val="0"/>
        <w:ind w:left="993" w:hanging="284"/>
      </w:pPr>
      <w:r>
        <w:t>Chronic neurological condition</w:t>
      </w:r>
    </w:p>
    <w:p w:rsidR="0073662A" w:rsidRDefault="0073662A" w:rsidP="0073662A">
      <w:pPr>
        <w:pStyle w:val="ListParagraph"/>
        <w:numPr>
          <w:ilvl w:val="2"/>
          <w:numId w:val="5"/>
        </w:numPr>
        <w:tabs>
          <w:tab w:val="clear" w:pos="2160"/>
          <w:tab w:val="num" w:pos="993"/>
        </w:tabs>
        <w:suppressAutoHyphens w:val="0"/>
        <w:ind w:left="993" w:hanging="284"/>
      </w:pPr>
      <w:proofErr w:type="spellStart"/>
      <w:r w:rsidRPr="00202138">
        <w:t>Polypharmacy</w:t>
      </w:r>
      <w:proofErr w:type="spellEnd"/>
      <w:r w:rsidRPr="00202138">
        <w:t xml:space="preserve"> or co-morbidity</w:t>
      </w:r>
    </w:p>
    <w:p w:rsidR="0073662A" w:rsidRPr="00202138" w:rsidRDefault="0073662A" w:rsidP="0073662A">
      <w:pPr>
        <w:pStyle w:val="ListParagraph"/>
        <w:numPr>
          <w:ilvl w:val="2"/>
          <w:numId w:val="5"/>
        </w:numPr>
        <w:tabs>
          <w:tab w:val="clear" w:pos="2160"/>
          <w:tab w:val="num" w:pos="993"/>
        </w:tabs>
        <w:suppressAutoHyphens w:val="0"/>
        <w:ind w:left="993" w:hanging="284"/>
      </w:pPr>
      <w:r>
        <w:t>A case  with a significant lifestyle or dietary component</w:t>
      </w:r>
    </w:p>
    <w:p w:rsidR="0073662A" w:rsidRPr="00202138" w:rsidRDefault="0073662A" w:rsidP="0073662A">
      <w:pPr>
        <w:pStyle w:val="ListParagraph"/>
        <w:suppressAutoHyphens w:val="0"/>
        <w:ind w:left="1080"/>
      </w:pPr>
    </w:p>
    <w:p w:rsidR="0073662A" w:rsidRPr="00202138" w:rsidRDefault="0073662A" w:rsidP="0073662A">
      <w:pPr>
        <w:rPr>
          <w:rFonts w:ascii="Arial" w:hAnsi="Arial" w:cs="Arial"/>
          <w:sz w:val="22"/>
          <w:szCs w:val="22"/>
        </w:rPr>
      </w:pPr>
      <w:r w:rsidRPr="00202138">
        <w:rPr>
          <w:rFonts w:ascii="Arial" w:hAnsi="Arial" w:cs="Arial"/>
          <w:sz w:val="22"/>
          <w:szCs w:val="22"/>
        </w:rPr>
        <w:t>To save you time, you may cho</w:t>
      </w:r>
      <w:r w:rsidR="0015194E">
        <w:rPr>
          <w:rFonts w:ascii="Arial" w:hAnsi="Arial" w:cs="Arial"/>
          <w:sz w:val="22"/>
          <w:szCs w:val="22"/>
        </w:rPr>
        <w:t>o</w:t>
      </w:r>
      <w:r w:rsidRPr="00202138">
        <w:rPr>
          <w:rFonts w:ascii="Arial" w:hAnsi="Arial" w:cs="Arial"/>
          <w:sz w:val="22"/>
          <w:szCs w:val="22"/>
        </w:rPr>
        <w:t>se to copy and paste from your clinical system (making sure you do NOT copy names ensuring patient confidentiality)</w:t>
      </w:r>
    </w:p>
    <w:p w:rsidR="0073662A" w:rsidRPr="00383973" w:rsidRDefault="0073662A" w:rsidP="0073662A">
      <w:pPr>
        <w:rPr>
          <w:rFonts w:ascii="Arial" w:hAnsi="Arial" w:cs="Arial"/>
          <w:sz w:val="18"/>
          <w:szCs w:val="22"/>
        </w:rPr>
      </w:pPr>
    </w:p>
    <w:p w:rsidR="0073662A" w:rsidRPr="00202138" w:rsidRDefault="0073662A" w:rsidP="0073662A">
      <w:pPr>
        <w:rPr>
          <w:rFonts w:ascii="Arial" w:hAnsi="Arial" w:cs="Arial"/>
          <w:sz w:val="22"/>
          <w:szCs w:val="22"/>
        </w:rPr>
      </w:pPr>
      <w:r w:rsidRPr="00202138">
        <w:rPr>
          <w:rFonts w:ascii="Arial" w:hAnsi="Arial" w:cs="Arial"/>
          <w:sz w:val="22"/>
          <w:szCs w:val="22"/>
        </w:rPr>
        <w:t>You should record</w:t>
      </w:r>
    </w:p>
    <w:p w:rsidR="0073662A" w:rsidRPr="00202138" w:rsidRDefault="0073662A" w:rsidP="0073662A">
      <w:pPr>
        <w:numPr>
          <w:ilvl w:val="3"/>
          <w:numId w:val="6"/>
        </w:numPr>
        <w:ind w:left="993" w:hanging="284"/>
        <w:rPr>
          <w:rFonts w:ascii="Arial" w:hAnsi="Arial" w:cs="Arial"/>
          <w:sz w:val="22"/>
          <w:szCs w:val="22"/>
        </w:rPr>
      </w:pPr>
      <w:r w:rsidRPr="00202138">
        <w:rPr>
          <w:rFonts w:ascii="Arial" w:hAnsi="Arial" w:cs="Arial"/>
          <w:sz w:val="22"/>
          <w:szCs w:val="22"/>
        </w:rPr>
        <w:t>what happened</w:t>
      </w:r>
    </w:p>
    <w:p w:rsidR="0073662A" w:rsidRPr="00202138" w:rsidRDefault="0073662A" w:rsidP="0073662A">
      <w:pPr>
        <w:numPr>
          <w:ilvl w:val="3"/>
          <w:numId w:val="6"/>
        </w:numPr>
        <w:ind w:left="993" w:hanging="284"/>
        <w:rPr>
          <w:rFonts w:ascii="Arial" w:hAnsi="Arial" w:cs="Arial"/>
          <w:sz w:val="22"/>
          <w:szCs w:val="22"/>
        </w:rPr>
      </w:pPr>
      <w:r w:rsidRPr="00202138">
        <w:rPr>
          <w:rFonts w:ascii="Arial" w:hAnsi="Arial" w:cs="Arial"/>
          <w:sz w:val="22"/>
          <w:szCs w:val="22"/>
        </w:rPr>
        <w:t>what you did</w:t>
      </w:r>
    </w:p>
    <w:p w:rsidR="0073662A" w:rsidRPr="00202138" w:rsidRDefault="0073662A" w:rsidP="0073662A">
      <w:pPr>
        <w:numPr>
          <w:ilvl w:val="3"/>
          <w:numId w:val="6"/>
        </w:numPr>
        <w:ind w:left="993" w:hanging="284"/>
        <w:rPr>
          <w:rFonts w:ascii="Arial" w:hAnsi="Arial" w:cs="Arial"/>
          <w:sz w:val="22"/>
          <w:szCs w:val="22"/>
        </w:rPr>
      </w:pPr>
      <w:r w:rsidRPr="00202138">
        <w:rPr>
          <w:rFonts w:ascii="Arial" w:hAnsi="Arial" w:cs="Arial"/>
          <w:sz w:val="22"/>
          <w:szCs w:val="22"/>
        </w:rPr>
        <w:t>any decisions made</w:t>
      </w:r>
    </w:p>
    <w:p w:rsidR="0073662A" w:rsidRPr="00202138" w:rsidRDefault="0073662A" w:rsidP="0073662A">
      <w:pPr>
        <w:numPr>
          <w:ilvl w:val="3"/>
          <w:numId w:val="6"/>
        </w:numPr>
        <w:ind w:left="993" w:hanging="284"/>
        <w:rPr>
          <w:rFonts w:ascii="Arial" w:hAnsi="Arial" w:cs="Arial"/>
          <w:sz w:val="22"/>
          <w:szCs w:val="22"/>
        </w:rPr>
      </w:pPr>
      <w:r w:rsidRPr="00202138">
        <w:rPr>
          <w:rFonts w:ascii="Arial" w:hAnsi="Arial" w:cs="Arial"/>
          <w:sz w:val="22"/>
          <w:szCs w:val="22"/>
        </w:rPr>
        <w:t>whether the patient’s current plan / therapy is in line with best practice / national guidance</w:t>
      </w:r>
    </w:p>
    <w:p w:rsidR="0073662A" w:rsidRPr="00202138" w:rsidRDefault="0073662A" w:rsidP="0073662A">
      <w:pPr>
        <w:rPr>
          <w:rFonts w:ascii="Arial" w:hAnsi="Arial" w:cs="Arial"/>
          <w:sz w:val="22"/>
          <w:szCs w:val="22"/>
        </w:rPr>
      </w:pPr>
      <w:r w:rsidRPr="00202138">
        <w:rPr>
          <w:rFonts w:ascii="Arial" w:hAnsi="Arial" w:cs="Arial"/>
          <w:sz w:val="22"/>
          <w:szCs w:val="22"/>
        </w:rPr>
        <w:br w:type="page"/>
      </w:r>
      <w:r w:rsidRPr="00202138">
        <w:rPr>
          <w:rFonts w:ascii="Arial" w:hAnsi="Arial" w:cs="Arial"/>
          <w:sz w:val="22"/>
          <w:szCs w:val="22"/>
        </w:rPr>
        <w:lastRenderedPageBreak/>
        <w:t>Your submissions should be:</w:t>
      </w:r>
    </w:p>
    <w:p w:rsidR="0073662A" w:rsidRPr="00202138" w:rsidRDefault="0073662A" w:rsidP="0073662A">
      <w:pPr>
        <w:rPr>
          <w:rFonts w:ascii="Arial" w:hAnsi="Arial" w:cs="Arial"/>
          <w:sz w:val="4"/>
          <w:szCs w:val="22"/>
        </w:rPr>
      </w:pPr>
    </w:p>
    <w:p w:rsidR="0073662A" w:rsidRPr="00202138" w:rsidRDefault="0073662A" w:rsidP="0073662A">
      <w:pPr>
        <w:numPr>
          <w:ilvl w:val="0"/>
          <w:numId w:val="4"/>
        </w:numPr>
        <w:tabs>
          <w:tab w:val="clear" w:pos="2154"/>
          <w:tab w:val="num" w:pos="993"/>
        </w:tabs>
        <w:ind w:hanging="1445"/>
        <w:rPr>
          <w:rFonts w:ascii="Arial" w:hAnsi="Arial" w:cs="Arial"/>
          <w:sz w:val="22"/>
          <w:szCs w:val="22"/>
        </w:rPr>
      </w:pPr>
      <w:r w:rsidRPr="00202138">
        <w:rPr>
          <w:rFonts w:ascii="Arial" w:hAnsi="Arial" w:cs="Arial"/>
          <w:i/>
          <w:sz w:val="22"/>
          <w:szCs w:val="22"/>
        </w:rPr>
        <w:t>brief</w:t>
      </w:r>
      <w:r w:rsidRPr="00202138">
        <w:rPr>
          <w:rFonts w:ascii="Arial" w:hAnsi="Arial" w:cs="Arial"/>
          <w:sz w:val="22"/>
          <w:szCs w:val="22"/>
        </w:rPr>
        <w:t>, but thoughtful</w:t>
      </w:r>
    </w:p>
    <w:p w:rsidR="0073662A" w:rsidRPr="00202138" w:rsidRDefault="0073662A" w:rsidP="0073662A">
      <w:pPr>
        <w:numPr>
          <w:ilvl w:val="0"/>
          <w:numId w:val="4"/>
        </w:numPr>
        <w:tabs>
          <w:tab w:val="clear" w:pos="2154"/>
          <w:tab w:val="num" w:pos="993"/>
        </w:tabs>
        <w:ind w:hanging="1445"/>
        <w:rPr>
          <w:rFonts w:ascii="Arial" w:hAnsi="Arial" w:cs="Arial"/>
          <w:sz w:val="22"/>
          <w:szCs w:val="22"/>
        </w:rPr>
      </w:pPr>
      <w:r w:rsidRPr="00202138">
        <w:rPr>
          <w:rFonts w:ascii="Arial" w:hAnsi="Arial" w:cs="Arial"/>
          <w:sz w:val="22"/>
          <w:szCs w:val="22"/>
        </w:rPr>
        <w:t>usually less than 1 side of A4 (</w:t>
      </w:r>
      <w:r w:rsidRPr="00202138">
        <w:rPr>
          <w:rFonts w:ascii="Arial" w:hAnsi="Arial" w:cs="Arial"/>
          <w:i/>
          <w:sz w:val="22"/>
          <w:szCs w:val="22"/>
        </w:rPr>
        <w:t xml:space="preserve">never </w:t>
      </w:r>
      <w:r w:rsidRPr="00202138">
        <w:rPr>
          <w:rFonts w:ascii="Arial" w:hAnsi="Arial" w:cs="Arial"/>
          <w:sz w:val="22"/>
          <w:szCs w:val="22"/>
        </w:rPr>
        <w:t>more than 2)</w:t>
      </w:r>
    </w:p>
    <w:p w:rsidR="0073662A" w:rsidRPr="00202138" w:rsidRDefault="0073662A" w:rsidP="0073662A">
      <w:pPr>
        <w:rPr>
          <w:rFonts w:ascii="Arial" w:hAnsi="Arial" w:cs="Arial"/>
          <w:sz w:val="22"/>
          <w:szCs w:val="22"/>
        </w:rPr>
      </w:pPr>
    </w:p>
    <w:p w:rsidR="0073662A" w:rsidRPr="00202138" w:rsidRDefault="0073662A" w:rsidP="0073662A">
      <w:pPr>
        <w:rPr>
          <w:rFonts w:ascii="Arial" w:hAnsi="Arial" w:cs="Arial"/>
          <w:sz w:val="22"/>
          <w:szCs w:val="22"/>
        </w:rPr>
      </w:pPr>
      <w:r w:rsidRPr="00202138">
        <w:rPr>
          <w:rFonts w:ascii="Arial" w:hAnsi="Arial" w:cs="Arial"/>
          <w:sz w:val="22"/>
          <w:szCs w:val="22"/>
        </w:rPr>
        <w:t>There are examples of a brief report on the intranet.</w:t>
      </w:r>
    </w:p>
    <w:p w:rsidR="0073662A" w:rsidRPr="00202138" w:rsidRDefault="0073662A" w:rsidP="0073662A">
      <w:pPr>
        <w:ind w:left="1794"/>
        <w:rPr>
          <w:rFonts w:ascii="Arial" w:hAnsi="Arial" w:cs="Arial"/>
          <w:sz w:val="22"/>
          <w:szCs w:val="22"/>
        </w:rPr>
      </w:pPr>
    </w:p>
    <w:p w:rsidR="0073662A" w:rsidRPr="0015194E" w:rsidRDefault="0073662A" w:rsidP="0015194E">
      <w:pPr>
        <w:rPr>
          <w:rFonts w:ascii="Arial" w:hAnsi="Arial" w:cs="Arial"/>
          <w:sz w:val="22"/>
          <w:szCs w:val="22"/>
        </w:rPr>
      </w:pPr>
      <w:r w:rsidRPr="00202138">
        <w:rPr>
          <w:rFonts w:ascii="Arial" w:hAnsi="Arial" w:cs="Arial"/>
          <w:sz w:val="22"/>
          <w:szCs w:val="22"/>
        </w:rPr>
        <w:t xml:space="preserve">Each week your GP Teacher will choose </w:t>
      </w:r>
      <w:r w:rsidRPr="00202138">
        <w:rPr>
          <w:rFonts w:ascii="Arial" w:hAnsi="Arial" w:cs="Arial"/>
          <w:i/>
          <w:sz w:val="22"/>
          <w:szCs w:val="22"/>
        </w:rPr>
        <w:t xml:space="preserve">one </w:t>
      </w:r>
      <w:r w:rsidRPr="00202138">
        <w:rPr>
          <w:rFonts w:ascii="Arial" w:hAnsi="Arial" w:cs="Arial"/>
          <w:sz w:val="22"/>
          <w:szCs w:val="22"/>
        </w:rPr>
        <w:t>of your submissions for the basis of a case-based discussion (CBD). The results of this discussion will be recorded in your portfolio using th</w:t>
      </w:r>
      <w:r w:rsidR="0015194E">
        <w:rPr>
          <w:rFonts w:ascii="Arial" w:hAnsi="Arial" w:cs="Arial"/>
          <w:sz w:val="22"/>
          <w:szCs w:val="22"/>
        </w:rPr>
        <w:t>is</w:t>
      </w:r>
      <w:r w:rsidRPr="00202138">
        <w:rPr>
          <w:rFonts w:ascii="Arial" w:hAnsi="Arial" w:cs="Arial"/>
          <w:sz w:val="22"/>
          <w:szCs w:val="22"/>
        </w:rPr>
        <w:t xml:space="preserve"> </w:t>
      </w:r>
      <w:hyperlink r:id="rId12" w:history="1">
        <w:r w:rsidRPr="00C15E09">
          <w:rPr>
            <w:rStyle w:val="Hyperlink"/>
            <w:rFonts w:ascii="Arial" w:hAnsi="Arial" w:cs="Arial"/>
            <w:sz w:val="22"/>
            <w:szCs w:val="22"/>
          </w:rPr>
          <w:t>form</w:t>
        </w:r>
      </w:hyperlink>
      <w:r w:rsidRPr="00202138">
        <w:rPr>
          <w:rFonts w:ascii="Arial" w:hAnsi="Arial" w:cs="Arial"/>
          <w:sz w:val="22"/>
          <w:szCs w:val="22"/>
        </w:rPr>
        <w:t>. Your GP should also complete a Clinical Observation Tool (COT) of one of your consultation sessions, using th</w:t>
      </w:r>
      <w:r w:rsidR="0015194E">
        <w:rPr>
          <w:rFonts w:ascii="Arial" w:hAnsi="Arial" w:cs="Arial"/>
          <w:sz w:val="22"/>
          <w:szCs w:val="22"/>
        </w:rPr>
        <w:t>is</w:t>
      </w:r>
      <w:r w:rsidRPr="00202138">
        <w:rPr>
          <w:rFonts w:ascii="Arial" w:hAnsi="Arial" w:cs="Arial"/>
          <w:sz w:val="22"/>
          <w:szCs w:val="22"/>
        </w:rPr>
        <w:t xml:space="preserve"> </w:t>
      </w:r>
      <w:hyperlink r:id="rId13" w:history="1">
        <w:r w:rsidRPr="0015194E">
          <w:rPr>
            <w:rStyle w:val="Hyperlink"/>
            <w:rFonts w:ascii="Arial" w:hAnsi="Arial" w:cs="Arial"/>
            <w:sz w:val="22"/>
            <w:szCs w:val="22"/>
          </w:rPr>
          <w:t>form</w:t>
        </w:r>
      </w:hyperlink>
      <w:r w:rsidRPr="00202138">
        <w:rPr>
          <w:rFonts w:ascii="Arial" w:hAnsi="Arial" w:cs="Arial"/>
          <w:sz w:val="22"/>
          <w:szCs w:val="22"/>
        </w:rPr>
        <w:t xml:space="preserve">. </w:t>
      </w:r>
      <w:bookmarkStart w:id="2" w:name="casereport"/>
      <w:bookmarkStart w:id="3" w:name="primary"/>
      <w:bookmarkEnd w:id="2"/>
      <w:bookmarkEnd w:id="3"/>
    </w:p>
    <w:sectPr w:rsidR="0073662A" w:rsidRPr="0015194E" w:rsidSect="0015194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14F"/>
    <w:multiLevelType w:val="hybridMultilevel"/>
    <w:tmpl w:val="E356116C"/>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703FCD"/>
    <w:multiLevelType w:val="hybridMultilevel"/>
    <w:tmpl w:val="B51E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F0C92"/>
    <w:multiLevelType w:val="singleLevel"/>
    <w:tmpl w:val="2D08DC5C"/>
    <w:lvl w:ilvl="0">
      <w:start w:val="1"/>
      <w:numFmt w:val="bullet"/>
      <w:lvlText w:val=""/>
      <w:lvlJc w:val="left"/>
      <w:pPr>
        <w:tabs>
          <w:tab w:val="num" w:pos="360"/>
        </w:tabs>
        <w:ind w:left="284" w:hanging="284"/>
      </w:pPr>
      <w:rPr>
        <w:rFonts w:ascii="Symbol" w:hAnsi="Symbol" w:hint="default"/>
        <w:sz w:val="16"/>
      </w:rPr>
    </w:lvl>
  </w:abstractNum>
  <w:abstractNum w:abstractNumId="3">
    <w:nsid w:val="33503091"/>
    <w:multiLevelType w:val="hybridMultilevel"/>
    <w:tmpl w:val="E93A12E8"/>
    <w:lvl w:ilvl="0" w:tplc="64C0B5DA">
      <w:start w:val="1"/>
      <w:numFmt w:val="bullet"/>
      <w:lvlText w:val=""/>
      <w:lvlJc w:val="left"/>
      <w:pPr>
        <w:tabs>
          <w:tab w:val="num" w:pos="2154"/>
        </w:tabs>
        <w:ind w:left="215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4">
    <w:nsid w:val="50B9013E"/>
    <w:multiLevelType w:val="hybridMultilevel"/>
    <w:tmpl w:val="B8F2D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FF3DC1"/>
    <w:multiLevelType w:val="hybridMultilevel"/>
    <w:tmpl w:val="B8540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2A"/>
    <w:rsid w:val="0015194E"/>
    <w:rsid w:val="001E4AC1"/>
    <w:rsid w:val="004533A8"/>
    <w:rsid w:val="0073662A"/>
    <w:rsid w:val="00C15E09"/>
    <w:rsid w:val="00C71A88"/>
    <w:rsid w:val="00CB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2A"/>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73662A"/>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662A"/>
    <w:rPr>
      <w:rFonts w:ascii="Courier New" w:eastAsia="Times New Roman" w:hAnsi="Courier New" w:cs="Courier New"/>
      <w:b/>
      <w:bCs/>
      <w:sz w:val="20"/>
      <w:szCs w:val="20"/>
    </w:rPr>
  </w:style>
  <w:style w:type="paragraph" w:styleId="BodyText3">
    <w:name w:val="Body Text 3"/>
    <w:basedOn w:val="Normal"/>
    <w:link w:val="BodyText3Char"/>
    <w:uiPriority w:val="99"/>
    <w:rsid w:val="0073662A"/>
    <w:pPr>
      <w:tabs>
        <w:tab w:val="right" w:pos="9072"/>
      </w:tabs>
      <w:ind w:right="567"/>
    </w:pPr>
    <w:rPr>
      <w:sz w:val="36"/>
      <w:szCs w:val="36"/>
      <w:lang w:val="en-GB"/>
    </w:rPr>
  </w:style>
  <w:style w:type="character" w:customStyle="1" w:styleId="BodyText3Char">
    <w:name w:val="Body Text 3 Char"/>
    <w:basedOn w:val="DefaultParagraphFont"/>
    <w:link w:val="BodyText3"/>
    <w:uiPriority w:val="99"/>
    <w:rsid w:val="0073662A"/>
    <w:rPr>
      <w:rFonts w:ascii="Times New Roman" w:eastAsia="Times New Roman" w:hAnsi="Times New Roman" w:cs="Times New Roman"/>
      <w:sz w:val="36"/>
      <w:szCs w:val="36"/>
    </w:rPr>
  </w:style>
  <w:style w:type="paragraph" w:styleId="BodyText">
    <w:name w:val="Body Text"/>
    <w:basedOn w:val="Normal"/>
    <w:link w:val="BodyTextChar"/>
    <w:uiPriority w:val="99"/>
    <w:rsid w:val="0073662A"/>
    <w:pPr>
      <w:jc w:val="center"/>
    </w:pPr>
    <w:rPr>
      <w:b/>
      <w:bCs/>
      <w:sz w:val="32"/>
      <w:lang w:val="en-GB"/>
    </w:rPr>
  </w:style>
  <w:style w:type="character" w:customStyle="1" w:styleId="BodyTextChar">
    <w:name w:val="Body Text Char"/>
    <w:basedOn w:val="DefaultParagraphFont"/>
    <w:link w:val="BodyText"/>
    <w:uiPriority w:val="99"/>
    <w:rsid w:val="0073662A"/>
    <w:rPr>
      <w:rFonts w:ascii="Times New Roman" w:eastAsia="Times New Roman" w:hAnsi="Times New Roman" w:cs="Times New Roman"/>
      <w:b/>
      <w:bCs/>
      <w:sz w:val="32"/>
      <w:szCs w:val="20"/>
    </w:rPr>
  </w:style>
  <w:style w:type="paragraph" w:customStyle="1" w:styleId="BodyText0">
    <w:name w:val="BodyText"/>
    <w:basedOn w:val="Normal"/>
    <w:autoRedefine/>
    <w:uiPriority w:val="99"/>
    <w:rsid w:val="0073662A"/>
    <w:pPr>
      <w:autoSpaceDE w:val="0"/>
      <w:autoSpaceDN w:val="0"/>
      <w:jc w:val="both"/>
    </w:pPr>
    <w:rPr>
      <w:rFonts w:ascii="Arial" w:hAnsi="Arial" w:cs="Arial"/>
      <w:b/>
      <w:sz w:val="32"/>
      <w:szCs w:val="32"/>
      <w:lang w:val="en-GB"/>
    </w:rPr>
  </w:style>
  <w:style w:type="paragraph" w:styleId="ListParagraph">
    <w:name w:val="List Paragraph"/>
    <w:basedOn w:val="Normal"/>
    <w:uiPriority w:val="99"/>
    <w:qFormat/>
    <w:rsid w:val="0073662A"/>
    <w:pPr>
      <w:suppressAutoHyphens/>
      <w:ind w:left="720"/>
      <w:contextualSpacing/>
    </w:pPr>
    <w:rPr>
      <w:rFonts w:ascii="Arial" w:hAnsi="Arial"/>
      <w:sz w:val="22"/>
      <w:lang w:val="en-GB" w:eastAsia="ar-SA"/>
    </w:rPr>
  </w:style>
  <w:style w:type="character" w:styleId="Hyperlink">
    <w:name w:val="Hyperlink"/>
    <w:basedOn w:val="DefaultParagraphFont"/>
    <w:uiPriority w:val="99"/>
    <w:unhideWhenUsed/>
    <w:rsid w:val="00151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2A"/>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9"/>
    <w:qFormat/>
    <w:rsid w:val="0073662A"/>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3662A"/>
    <w:rPr>
      <w:rFonts w:ascii="Courier New" w:eastAsia="Times New Roman" w:hAnsi="Courier New" w:cs="Courier New"/>
      <w:b/>
      <w:bCs/>
      <w:sz w:val="20"/>
      <w:szCs w:val="20"/>
    </w:rPr>
  </w:style>
  <w:style w:type="paragraph" w:styleId="BodyText3">
    <w:name w:val="Body Text 3"/>
    <w:basedOn w:val="Normal"/>
    <w:link w:val="BodyText3Char"/>
    <w:uiPriority w:val="99"/>
    <w:rsid w:val="0073662A"/>
    <w:pPr>
      <w:tabs>
        <w:tab w:val="right" w:pos="9072"/>
      </w:tabs>
      <w:ind w:right="567"/>
    </w:pPr>
    <w:rPr>
      <w:sz w:val="36"/>
      <w:szCs w:val="36"/>
      <w:lang w:val="en-GB"/>
    </w:rPr>
  </w:style>
  <w:style w:type="character" w:customStyle="1" w:styleId="BodyText3Char">
    <w:name w:val="Body Text 3 Char"/>
    <w:basedOn w:val="DefaultParagraphFont"/>
    <w:link w:val="BodyText3"/>
    <w:uiPriority w:val="99"/>
    <w:rsid w:val="0073662A"/>
    <w:rPr>
      <w:rFonts w:ascii="Times New Roman" w:eastAsia="Times New Roman" w:hAnsi="Times New Roman" w:cs="Times New Roman"/>
      <w:sz w:val="36"/>
      <w:szCs w:val="36"/>
    </w:rPr>
  </w:style>
  <w:style w:type="paragraph" w:styleId="BodyText">
    <w:name w:val="Body Text"/>
    <w:basedOn w:val="Normal"/>
    <w:link w:val="BodyTextChar"/>
    <w:uiPriority w:val="99"/>
    <w:rsid w:val="0073662A"/>
    <w:pPr>
      <w:jc w:val="center"/>
    </w:pPr>
    <w:rPr>
      <w:b/>
      <w:bCs/>
      <w:sz w:val="32"/>
      <w:lang w:val="en-GB"/>
    </w:rPr>
  </w:style>
  <w:style w:type="character" w:customStyle="1" w:styleId="BodyTextChar">
    <w:name w:val="Body Text Char"/>
    <w:basedOn w:val="DefaultParagraphFont"/>
    <w:link w:val="BodyText"/>
    <w:uiPriority w:val="99"/>
    <w:rsid w:val="0073662A"/>
    <w:rPr>
      <w:rFonts w:ascii="Times New Roman" w:eastAsia="Times New Roman" w:hAnsi="Times New Roman" w:cs="Times New Roman"/>
      <w:b/>
      <w:bCs/>
      <w:sz w:val="32"/>
      <w:szCs w:val="20"/>
    </w:rPr>
  </w:style>
  <w:style w:type="paragraph" w:customStyle="1" w:styleId="BodyText0">
    <w:name w:val="BodyText"/>
    <w:basedOn w:val="Normal"/>
    <w:autoRedefine/>
    <w:uiPriority w:val="99"/>
    <w:rsid w:val="0073662A"/>
    <w:pPr>
      <w:autoSpaceDE w:val="0"/>
      <w:autoSpaceDN w:val="0"/>
      <w:jc w:val="both"/>
    </w:pPr>
    <w:rPr>
      <w:rFonts w:ascii="Arial" w:hAnsi="Arial" w:cs="Arial"/>
      <w:b/>
      <w:sz w:val="32"/>
      <w:szCs w:val="32"/>
      <w:lang w:val="en-GB"/>
    </w:rPr>
  </w:style>
  <w:style w:type="paragraph" w:styleId="ListParagraph">
    <w:name w:val="List Paragraph"/>
    <w:basedOn w:val="Normal"/>
    <w:uiPriority w:val="99"/>
    <w:qFormat/>
    <w:rsid w:val="0073662A"/>
    <w:pPr>
      <w:suppressAutoHyphens/>
      <w:ind w:left="720"/>
      <w:contextualSpacing/>
    </w:pPr>
    <w:rPr>
      <w:rFonts w:ascii="Arial" w:hAnsi="Arial"/>
      <w:sz w:val="22"/>
      <w:lang w:val="en-GB" w:eastAsia="ar-SA"/>
    </w:rPr>
  </w:style>
  <w:style w:type="character" w:styleId="Hyperlink">
    <w:name w:val="Hyperlink"/>
    <w:basedOn w:val="DefaultParagraphFont"/>
    <w:uiPriority w:val="99"/>
    <w:unhideWhenUsed/>
    <w:rsid w:val="00151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education.med.imperial.ac.uk/Years/6-1213/GPSA/COTform.doc"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hyperlink" Target="https://education.med.imperial.ac.uk/Years/6-1213/GPSA/cbd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education.med.imperial.ac.uk/Years/6-1213/GPSA/practicedemo.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31717-AE44-4482-97A1-787956A253D1}" type="doc">
      <dgm:prSet loTypeId="urn:microsoft.com/office/officeart/2005/8/layout/cycle1" loCatId="cycle" qsTypeId="urn:microsoft.com/office/officeart/2005/8/quickstyle/simple1" qsCatId="simple" csTypeId="urn:microsoft.com/office/officeart/2005/8/colors/accent1_2" csCatId="accent1" phldr="1"/>
      <dgm:spPr/>
    </dgm:pt>
    <dgm:pt modelId="{2D96BF4C-8C3D-4514-951B-3A4D2D19A988}">
      <dgm:prSet custT="1"/>
      <dgm:spPr/>
      <dgm:t>
        <a:bodyPr/>
        <a:lstStyle/>
        <a:p>
          <a:pPr marR="0" algn="ctr" rtl="0"/>
          <a:r>
            <a:rPr lang="en-GB" sz="1100" b="1" baseline="0" smtClean="0">
              <a:solidFill>
                <a:srgbClr val="000000"/>
              </a:solidFill>
              <a:latin typeface="Calibri"/>
            </a:rPr>
            <a:t>Reflection</a:t>
          </a:r>
          <a:endParaRPr lang="en-GB" sz="1100" smtClean="0"/>
        </a:p>
      </dgm:t>
    </dgm:pt>
    <dgm:pt modelId="{67B89E39-D467-4837-8D06-29E6D002E467}" type="parTrans" cxnId="{EF877974-E241-48D6-A5F6-FD4FB7E9E919}">
      <dgm:prSet/>
      <dgm:spPr/>
      <dgm:t>
        <a:bodyPr/>
        <a:lstStyle/>
        <a:p>
          <a:endParaRPr lang="en-GB"/>
        </a:p>
      </dgm:t>
    </dgm:pt>
    <dgm:pt modelId="{19E7C8CB-27AA-48AB-A176-4019E5C1F67F}" type="sibTrans" cxnId="{EF877974-E241-48D6-A5F6-FD4FB7E9E919}">
      <dgm:prSet/>
      <dgm:spPr/>
      <dgm:t>
        <a:bodyPr/>
        <a:lstStyle/>
        <a:p>
          <a:endParaRPr lang="en-GB"/>
        </a:p>
      </dgm:t>
    </dgm:pt>
    <dgm:pt modelId="{122F6A85-5B15-48BD-89DA-82E241D59750}">
      <dgm:prSet custT="1"/>
      <dgm:spPr/>
      <dgm:t>
        <a:bodyPr/>
        <a:lstStyle/>
        <a:p>
          <a:pPr marR="0" algn="ctr" rtl="0"/>
          <a:r>
            <a:rPr lang="en-GB" sz="1100" b="1" baseline="0" smtClean="0">
              <a:solidFill>
                <a:srgbClr val="000000"/>
              </a:solidFill>
              <a:latin typeface="Calibri"/>
            </a:rPr>
            <a:t>Generalisation</a:t>
          </a:r>
          <a:endParaRPr lang="en-GB" sz="1100" smtClean="0"/>
        </a:p>
      </dgm:t>
    </dgm:pt>
    <dgm:pt modelId="{C8FD0F5A-35AA-4815-A473-3F014BCD85C3}" type="parTrans" cxnId="{E05B9F88-D01A-4B1C-909D-DED0D720F484}">
      <dgm:prSet/>
      <dgm:spPr/>
      <dgm:t>
        <a:bodyPr/>
        <a:lstStyle/>
        <a:p>
          <a:endParaRPr lang="en-GB"/>
        </a:p>
      </dgm:t>
    </dgm:pt>
    <dgm:pt modelId="{8F30BDF3-DA08-4E98-9053-6769355D30E9}" type="sibTrans" cxnId="{E05B9F88-D01A-4B1C-909D-DED0D720F484}">
      <dgm:prSet/>
      <dgm:spPr/>
      <dgm:t>
        <a:bodyPr/>
        <a:lstStyle/>
        <a:p>
          <a:endParaRPr lang="en-GB"/>
        </a:p>
      </dgm:t>
    </dgm:pt>
    <dgm:pt modelId="{963E1CCA-AF01-49F9-B6AA-359A35F618DA}">
      <dgm:prSet custT="1"/>
      <dgm:spPr/>
      <dgm:t>
        <a:bodyPr/>
        <a:lstStyle/>
        <a:p>
          <a:pPr marR="0" algn="ctr" rtl="0"/>
          <a:r>
            <a:rPr lang="en-GB" sz="1100" b="1" baseline="0" smtClean="0">
              <a:solidFill>
                <a:srgbClr val="000000"/>
              </a:solidFill>
              <a:latin typeface="Calibri"/>
            </a:rPr>
            <a:t>Application</a:t>
          </a:r>
          <a:endParaRPr lang="en-GB" sz="1100" smtClean="0"/>
        </a:p>
      </dgm:t>
    </dgm:pt>
    <dgm:pt modelId="{3C1984CE-6FB1-4F37-B98E-366C2D11E511}" type="parTrans" cxnId="{50060973-CF1C-4989-8502-01616113318B}">
      <dgm:prSet/>
      <dgm:spPr/>
      <dgm:t>
        <a:bodyPr/>
        <a:lstStyle/>
        <a:p>
          <a:endParaRPr lang="en-GB"/>
        </a:p>
      </dgm:t>
    </dgm:pt>
    <dgm:pt modelId="{F51A9807-4BE4-4C81-8221-6D187953BBB8}" type="sibTrans" cxnId="{50060973-CF1C-4989-8502-01616113318B}">
      <dgm:prSet/>
      <dgm:spPr/>
      <dgm:t>
        <a:bodyPr/>
        <a:lstStyle/>
        <a:p>
          <a:endParaRPr lang="en-GB"/>
        </a:p>
      </dgm:t>
    </dgm:pt>
    <dgm:pt modelId="{653D46C0-8016-411C-8ECB-7C2B231AD67A}">
      <dgm:prSet custT="1"/>
      <dgm:spPr/>
      <dgm:t>
        <a:bodyPr/>
        <a:lstStyle/>
        <a:p>
          <a:pPr marR="0" algn="ctr" rtl="0"/>
          <a:r>
            <a:rPr lang="en-GB" sz="1100" b="1" baseline="0" smtClean="0">
              <a:solidFill>
                <a:srgbClr val="000000"/>
              </a:solidFill>
              <a:latin typeface="Calibri"/>
            </a:rPr>
            <a:t>Experience</a:t>
          </a:r>
          <a:endParaRPr lang="en-GB" sz="1100" smtClean="0"/>
        </a:p>
      </dgm:t>
    </dgm:pt>
    <dgm:pt modelId="{9D5E4631-7322-490E-A307-028FA70C0B8D}" type="parTrans" cxnId="{CB3DD6AF-BD9E-4FC9-BF48-53901F141152}">
      <dgm:prSet/>
      <dgm:spPr/>
      <dgm:t>
        <a:bodyPr/>
        <a:lstStyle/>
        <a:p>
          <a:endParaRPr lang="en-GB"/>
        </a:p>
      </dgm:t>
    </dgm:pt>
    <dgm:pt modelId="{BCCBB51F-D947-4274-B612-D7E70F367C53}" type="sibTrans" cxnId="{CB3DD6AF-BD9E-4FC9-BF48-53901F141152}">
      <dgm:prSet/>
      <dgm:spPr/>
      <dgm:t>
        <a:bodyPr/>
        <a:lstStyle/>
        <a:p>
          <a:endParaRPr lang="en-GB"/>
        </a:p>
      </dgm:t>
    </dgm:pt>
    <dgm:pt modelId="{A08677C6-FF71-4E6F-AD7E-92DACBB163A6}" type="pres">
      <dgm:prSet presAssocID="{DDC31717-AE44-4482-97A1-787956A253D1}" presName="cycle" presStyleCnt="0">
        <dgm:presLayoutVars>
          <dgm:dir/>
          <dgm:resizeHandles val="exact"/>
        </dgm:presLayoutVars>
      </dgm:prSet>
      <dgm:spPr/>
    </dgm:pt>
    <dgm:pt modelId="{7FF87471-4ADA-4190-805C-D795BB7E9029}" type="pres">
      <dgm:prSet presAssocID="{2D96BF4C-8C3D-4514-951B-3A4D2D19A988}" presName="dummy" presStyleCnt="0"/>
      <dgm:spPr/>
    </dgm:pt>
    <dgm:pt modelId="{1F457C3C-97FB-4CD3-B2EE-C9773FF9A416}" type="pres">
      <dgm:prSet presAssocID="{2D96BF4C-8C3D-4514-951B-3A4D2D19A988}" presName="node" presStyleLbl="revTx" presStyleIdx="0" presStyleCnt="4" custScaleX="147845" custScaleY="46031">
        <dgm:presLayoutVars>
          <dgm:bulletEnabled val="1"/>
        </dgm:presLayoutVars>
      </dgm:prSet>
      <dgm:spPr/>
      <dgm:t>
        <a:bodyPr/>
        <a:lstStyle/>
        <a:p>
          <a:endParaRPr lang="en-GB"/>
        </a:p>
      </dgm:t>
    </dgm:pt>
    <dgm:pt modelId="{9238A03F-61FC-4A3C-B9C2-27591211692C}" type="pres">
      <dgm:prSet presAssocID="{19E7C8CB-27AA-48AB-A176-4019E5C1F67F}" presName="sibTrans" presStyleLbl="node1" presStyleIdx="0" presStyleCnt="4"/>
      <dgm:spPr/>
      <dgm:t>
        <a:bodyPr/>
        <a:lstStyle/>
        <a:p>
          <a:endParaRPr lang="en-GB"/>
        </a:p>
      </dgm:t>
    </dgm:pt>
    <dgm:pt modelId="{4D7F29F6-59D5-4CC1-90EF-EA7D3A1AC247}" type="pres">
      <dgm:prSet presAssocID="{122F6A85-5B15-48BD-89DA-82E241D59750}" presName="dummy" presStyleCnt="0"/>
      <dgm:spPr/>
    </dgm:pt>
    <dgm:pt modelId="{FA8DE0B1-F706-43F8-8931-C8671B2D41CB}" type="pres">
      <dgm:prSet presAssocID="{122F6A85-5B15-48BD-89DA-82E241D59750}" presName="node" presStyleLbl="revTx" presStyleIdx="1" presStyleCnt="4" custScaleX="230760" custScaleY="53583" custRadScaleRad="103152" custRadScaleInc="-47331">
        <dgm:presLayoutVars>
          <dgm:bulletEnabled val="1"/>
        </dgm:presLayoutVars>
      </dgm:prSet>
      <dgm:spPr/>
      <dgm:t>
        <a:bodyPr/>
        <a:lstStyle/>
        <a:p>
          <a:endParaRPr lang="en-GB"/>
        </a:p>
      </dgm:t>
    </dgm:pt>
    <dgm:pt modelId="{36F50410-7310-4058-8437-C745A91227C8}" type="pres">
      <dgm:prSet presAssocID="{8F30BDF3-DA08-4E98-9053-6769355D30E9}" presName="sibTrans" presStyleLbl="node1" presStyleIdx="1" presStyleCnt="4"/>
      <dgm:spPr/>
      <dgm:t>
        <a:bodyPr/>
        <a:lstStyle/>
        <a:p>
          <a:endParaRPr lang="en-GB"/>
        </a:p>
      </dgm:t>
    </dgm:pt>
    <dgm:pt modelId="{36D5C95F-8B72-42A0-9C36-85E7530A05BB}" type="pres">
      <dgm:prSet presAssocID="{963E1CCA-AF01-49F9-B6AA-359A35F618DA}" presName="dummy" presStyleCnt="0"/>
      <dgm:spPr/>
    </dgm:pt>
    <dgm:pt modelId="{A68609D8-BAFE-4EE1-84E5-F546FFFB1688}" type="pres">
      <dgm:prSet presAssocID="{963E1CCA-AF01-49F9-B6AA-359A35F618DA}" presName="node" presStyleLbl="revTx" presStyleIdx="2" presStyleCnt="4" custScaleX="156924" custScaleY="40361" custRadScaleRad="89724" custRadScaleInc="-18673">
        <dgm:presLayoutVars>
          <dgm:bulletEnabled val="1"/>
        </dgm:presLayoutVars>
      </dgm:prSet>
      <dgm:spPr/>
      <dgm:t>
        <a:bodyPr/>
        <a:lstStyle/>
        <a:p>
          <a:endParaRPr lang="en-GB"/>
        </a:p>
      </dgm:t>
    </dgm:pt>
    <dgm:pt modelId="{493381EE-F252-4674-929F-A093EBD59EB4}" type="pres">
      <dgm:prSet presAssocID="{F51A9807-4BE4-4C81-8221-6D187953BBB8}" presName="sibTrans" presStyleLbl="node1" presStyleIdx="2" presStyleCnt="4"/>
      <dgm:spPr/>
      <dgm:t>
        <a:bodyPr/>
        <a:lstStyle/>
        <a:p>
          <a:endParaRPr lang="en-GB"/>
        </a:p>
      </dgm:t>
    </dgm:pt>
    <dgm:pt modelId="{EF3F16B4-2DC8-4187-A0E3-36D354583E09}" type="pres">
      <dgm:prSet presAssocID="{653D46C0-8016-411C-8ECB-7C2B231AD67A}" presName="dummy" presStyleCnt="0"/>
      <dgm:spPr/>
    </dgm:pt>
    <dgm:pt modelId="{EAD2C9ED-E7E7-448F-ABBD-9154E64AA67A}" type="pres">
      <dgm:prSet presAssocID="{653D46C0-8016-411C-8ECB-7C2B231AD67A}" presName="node" presStyleLbl="revTx" presStyleIdx="3" presStyleCnt="4" custScaleX="190536" custScaleY="55948">
        <dgm:presLayoutVars>
          <dgm:bulletEnabled val="1"/>
        </dgm:presLayoutVars>
      </dgm:prSet>
      <dgm:spPr/>
      <dgm:t>
        <a:bodyPr/>
        <a:lstStyle/>
        <a:p>
          <a:endParaRPr lang="en-GB"/>
        </a:p>
      </dgm:t>
    </dgm:pt>
    <dgm:pt modelId="{4A347CA6-859F-4482-9135-CC5DBAF2A693}" type="pres">
      <dgm:prSet presAssocID="{BCCBB51F-D947-4274-B612-D7E70F367C53}" presName="sibTrans" presStyleLbl="node1" presStyleIdx="3" presStyleCnt="4"/>
      <dgm:spPr/>
      <dgm:t>
        <a:bodyPr/>
        <a:lstStyle/>
        <a:p>
          <a:endParaRPr lang="en-GB"/>
        </a:p>
      </dgm:t>
    </dgm:pt>
  </dgm:ptLst>
  <dgm:cxnLst>
    <dgm:cxn modelId="{CB3DD6AF-BD9E-4FC9-BF48-53901F141152}" srcId="{DDC31717-AE44-4482-97A1-787956A253D1}" destId="{653D46C0-8016-411C-8ECB-7C2B231AD67A}" srcOrd="3" destOrd="0" parTransId="{9D5E4631-7322-490E-A307-028FA70C0B8D}" sibTransId="{BCCBB51F-D947-4274-B612-D7E70F367C53}"/>
    <dgm:cxn modelId="{A997AC6D-1AD1-4E18-9B01-534850243D52}" type="presOf" srcId="{2D96BF4C-8C3D-4514-951B-3A4D2D19A988}" destId="{1F457C3C-97FB-4CD3-B2EE-C9773FF9A416}" srcOrd="0" destOrd="0" presId="urn:microsoft.com/office/officeart/2005/8/layout/cycle1"/>
    <dgm:cxn modelId="{EF877974-E241-48D6-A5F6-FD4FB7E9E919}" srcId="{DDC31717-AE44-4482-97A1-787956A253D1}" destId="{2D96BF4C-8C3D-4514-951B-3A4D2D19A988}" srcOrd="0" destOrd="0" parTransId="{67B89E39-D467-4837-8D06-29E6D002E467}" sibTransId="{19E7C8CB-27AA-48AB-A176-4019E5C1F67F}"/>
    <dgm:cxn modelId="{EB8D53CC-C416-4150-B020-3945F2A2C302}" type="presOf" srcId="{963E1CCA-AF01-49F9-B6AA-359A35F618DA}" destId="{A68609D8-BAFE-4EE1-84E5-F546FFFB1688}" srcOrd="0" destOrd="0" presId="urn:microsoft.com/office/officeart/2005/8/layout/cycle1"/>
    <dgm:cxn modelId="{2295E239-0A19-4B97-B622-EA95E774F403}" type="presOf" srcId="{BCCBB51F-D947-4274-B612-D7E70F367C53}" destId="{4A347CA6-859F-4482-9135-CC5DBAF2A693}" srcOrd="0" destOrd="0" presId="urn:microsoft.com/office/officeart/2005/8/layout/cycle1"/>
    <dgm:cxn modelId="{F4D3D04D-350E-4A92-BD4C-CF638A41C8D6}" type="presOf" srcId="{19E7C8CB-27AA-48AB-A176-4019E5C1F67F}" destId="{9238A03F-61FC-4A3C-B9C2-27591211692C}" srcOrd="0" destOrd="0" presId="urn:microsoft.com/office/officeart/2005/8/layout/cycle1"/>
    <dgm:cxn modelId="{E05B9F88-D01A-4B1C-909D-DED0D720F484}" srcId="{DDC31717-AE44-4482-97A1-787956A253D1}" destId="{122F6A85-5B15-48BD-89DA-82E241D59750}" srcOrd="1" destOrd="0" parTransId="{C8FD0F5A-35AA-4815-A473-3F014BCD85C3}" sibTransId="{8F30BDF3-DA08-4E98-9053-6769355D30E9}"/>
    <dgm:cxn modelId="{682E5DD6-B315-4CC3-A96C-571E9B35F7ED}" type="presOf" srcId="{653D46C0-8016-411C-8ECB-7C2B231AD67A}" destId="{EAD2C9ED-E7E7-448F-ABBD-9154E64AA67A}" srcOrd="0" destOrd="0" presId="urn:microsoft.com/office/officeart/2005/8/layout/cycle1"/>
    <dgm:cxn modelId="{D43AF04E-19EF-40D1-B0B3-316653416A75}" type="presOf" srcId="{122F6A85-5B15-48BD-89DA-82E241D59750}" destId="{FA8DE0B1-F706-43F8-8931-C8671B2D41CB}" srcOrd="0" destOrd="0" presId="urn:microsoft.com/office/officeart/2005/8/layout/cycle1"/>
    <dgm:cxn modelId="{E60BEBE8-0B12-4D61-84DB-A2F6178F6528}" type="presOf" srcId="{8F30BDF3-DA08-4E98-9053-6769355D30E9}" destId="{36F50410-7310-4058-8437-C745A91227C8}" srcOrd="0" destOrd="0" presId="urn:microsoft.com/office/officeart/2005/8/layout/cycle1"/>
    <dgm:cxn modelId="{08E6A7C4-26FE-4FFC-818F-8438D714CD72}" type="presOf" srcId="{F51A9807-4BE4-4C81-8221-6D187953BBB8}" destId="{493381EE-F252-4674-929F-A093EBD59EB4}" srcOrd="0" destOrd="0" presId="urn:microsoft.com/office/officeart/2005/8/layout/cycle1"/>
    <dgm:cxn modelId="{92A09AB5-BA60-490C-8672-141F5A57D5E3}" type="presOf" srcId="{DDC31717-AE44-4482-97A1-787956A253D1}" destId="{A08677C6-FF71-4E6F-AD7E-92DACBB163A6}" srcOrd="0" destOrd="0" presId="urn:microsoft.com/office/officeart/2005/8/layout/cycle1"/>
    <dgm:cxn modelId="{50060973-CF1C-4989-8502-01616113318B}" srcId="{DDC31717-AE44-4482-97A1-787956A253D1}" destId="{963E1CCA-AF01-49F9-B6AA-359A35F618DA}" srcOrd="2" destOrd="0" parTransId="{3C1984CE-6FB1-4F37-B98E-366C2D11E511}" sibTransId="{F51A9807-4BE4-4C81-8221-6D187953BBB8}"/>
    <dgm:cxn modelId="{89CA8D6C-095B-4C3A-BD91-45932E2DEB6E}" type="presParOf" srcId="{A08677C6-FF71-4E6F-AD7E-92DACBB163A6}" destId="{7FF87471-4ADA-4190-805C-D795BB7E9029}" srcOrd="0" destOrd="0" presId="urn:microsoft.com/office/officeart/2005/8/layout/cycle1"/>
    <dgm:cxn modelId="{CBF2AE3F-A2F6-43D0-B202-1FB5E5D814FD}" type="presParOf" srcId="{A08677C6-FF71-4E6F-AD7E-92DACBB163A6}" destId="{1F457C3C-97FB-4CD3-B2EE-C9773FF9A416}" srcOrd="1" destOrd="0" presId="urn:microsoft.com/office/officeart/2005/8/layout/cycle1"/>
    <dgm:cxn modelId="{27D2218B-0D9E-4068-982C-FE818157362F}" type="presParOf" srcId="{A08677C6-FF71-4E6F-AD7E-92DACBB163A6}" destId="{9238A03F-61FC-4A3C-B9C2-27591211692C}" srcOrd="2" destOrd="0" presId="urn:microsoft.com/office/officeart/2005/8/layout/cycle1"/>
    <dgm:cxn modelId="{346BF075-23C5-4178-9EBC-90EE09F3E3EB}" type="presParOf" srcId="{A08677C6-FF71-4E6F-AD7E-92DACBB163A6}" destId="{4D7F29F6-59D5-4CC1-90EF-EA7D3A1AC247}" srcOrd="3" destOrd="0" presId="urn:microsoft.com/office/officeart/2005/8/layout/cycle1"/>
    <dgm:cxn modelId="{8446A4C3-EB8A-4928-85A2-CBE0C52CF668}" type="presParOf" srcId="{A08677C6-FF71-4E6F-AD7E-92DACBB163A6}" destId="{FA8DE0B1-F706-43F8-8931-C8671B2D41CB}" srcOrd="4" destOrd="0" presId="urn:microsoft.com/office/officeart/2005/8/layout/cycle1"/>
    <dgm:cxn modelId="{D8A61837-52AA-425E-95F6-61E75449065B}" type="presParOf" srcId="{A08677C6-FF71-4E6F-AD7E-92DACBB163A6}" destId="{36F50410-7310-4058-8437-C745A91227C8}" srcOrd="5" destOrd="0" presId="urn:microsoft.com/office/officeart/2005/8/layout/cycle1"/>
    <dgm:cxn modelId="{12C99589-6C61-4798-A8DE-358B741735F2}" type="presParOf" srcId="{A08677C6-FF71-4E6F-AD7E-92DACBB163A6}" destId="{36D5C95F-8B72-42A0-9C36-85E7530A05BB}" srcOrd="6" destOrd="0" presId="urn:microsoft.com/office/officeart/2005/8/layout/cycle1"/>
    <dgm:cxn modelId="{ED5EC673-9C2E-4BA4-8F57-81BAF869A919}" type="presParOf" srcId="{A08677C6-FF71-4E6F-AD7E-92DACBB163A6}" destId="{A68609D8-BAFE-4EE1-84E5-F546FFFB1688}" srcOrd="7" destOrd="0" presId="urn:microsoft.com/office/officeart/2005/8/layout/cycle1"/>
    <dgm:cxn modelId="{64484D44-6A24-4C7F-B6B8-5CBC547E62B2}" type="presParOf" srcId="{A08677C6-FF71-4E6F-AD7E-92DACBB163A6}" destId="{493381EE-F252-4674-929F-A093EBD59EB4}" srcOrd="8" destOrd="0" presId="urn:microsoft.com/office/officeart/2005/8/layout/cycle1"/>
    <dgm:cxn modelId="{8D655099-1311-4AA3-AF59-36DAD9954AD5}" type="presParOf" srcId="{A08677C6-FF71-4E6F-AD7E-92DACBB163A6}" destId="{EF3F16B4-2DC8-4187-A0E3-36D354583E09}" srcOrd="9" destOrd="0" presId="urn:microsoft.com/office/officeart/2005/8/layout/cycle1"/>
    <dgm:cxn modelId="{5EEFBC3E-4997-47CB-8EC5-E2C4274AC5FF}" type="presParOf" srcId="{A08677C6-FF71-4E6F-AD7E-92DACBB163A6}" destId="{EAD2C9ED-E7E7-448F-ABBD-9154E64AA67A}" srcOrd="10" destOrd="0" presId="urn:microsoft.com/office/officeart/2005/8/layout/cycle1"/>
    <dgm:cxn modelId="{B9891EDB-D8D5-4EA1-9019-14AF1E37E9BC}" type="presParOf" srcId="{A08677C6-FF71-4E6F-AD7E-92DACBB163A6}" destId="{4A347CA6-859F-4482-9135-CC5DBAF2A693}"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457C3C-97FB-4CD3-B2EE-C9773FF9A416}">
      <dsp:nvSpPr>
        <dsp:cNvPr id="0" name=""/>
        <dsp:cNvSpPr/>
      </dsp:nvSpPr>
      <dsp:spPr>
        <a:xfrm>
          <a:off x="1577463" y="191995"/>
          <a:ext cx="852395" cy="265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en-GB" sz="1100" b="1" kern="1200" baseline="0" smtClean="0">
              <a:solidFill>
                <a:srgbClr val="000000"/>
              </a:solidFill>
              <a:latin typeface="Calibri"/>
            </a:rPr>
            <a:t>Reflection</a:t>
          </a:r>
          <a:endParaRPr lang="en-GB" sz="1100" kern="1200" smtClean="0"/>
        </a:p>
      </dsp:txBody>
      <dsp:txXfrm>
        <a:off x="1577463" y="191995"/>
        <a:ext cx="852395" cy="265390"/>
      </dsp:txXfrm>
    </dsp:sp>
    <dsp:sp modelId="{9238A03F-61FC-4A3C-B9C2-27591211692C}">
      <dsp:nvSpPr>
        <dsp:cNvPr id="0" name=""/>
        <dsp:cNvSpPr/>
      </dsp:nvSpPr>
      <dsp:spPr>
        <a:xfrm>
          <a:off x="715897" y="24771"/>
          <a:ext cx="1627764" cy="1627764"/>
        </a:xfrm>
        <a:prstGeom prst="circularArrow">
          <a:avLst>
            <a:gd name="adj1" fmla="val 6907"/>
            <a:gd name="adj2" fmla="val 465729"/>
            <a:gd name="adj3" fmla="val 472284"/>
            <a:gd name="adj4" fmla="val 19594289"/>
            <a:gd name="adj5" fmla="val 80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8DE0B1-F706-43F8-8931-C8671B2D41CB}">
      <dsp:nvSpPr>
        <dsp:cNvPr id="0" name=""/>
        <dsp:cNvSpPr/>
      </dsp:nvSpPr>
      <dsp:spPr>
        <a:xfrm>
          <a:off x="1462271" y="1025160"/>
          <a:ext cx="1330438" cy="3089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en-GB" sz="1100" b="1" kern="1200" baseline="0" smtClean="0">
              <a:solidFill>
                <a:srgbClr val="000000"/>
              </a:solidFill>
              <a:latin typeface="Calibri"/>
            </a:rPr>
            <a:t>Generalisation</a:t>
          </a:r>
          <a:endParaRPr lang="en-GB" sz="1100" kern="1200" smtClean="0"/>
        </a:p>
      </dsp:txBody>
      <dsp:txXfrm>
        <a:off x="1462271" y="1025160"/>
        <a:ext cx="1330438" cy="308930"/>
      </dsp:txXfrm>
    </dsp:sp>
    <dsp:sp modelId="{36F50410-7310-4058-8437-C745A91227C8}">
      <dsp:nvSpPr>
        <dsp:cNvPr id="0" name=""/>
        <dsp:cNvSpPr/>
      </dsp:nvSpPr>
      <dsp:spPr>
        <a:xfrm>
          <a:off x="788898" y="-44140"/>
          <a:ext cx="1627764" cy="1627764"/>
        </a:xfrm>
        <a:prstGeom prst="circularArrow">
          <a:avLst>
            <a:gd name="adj1" fmla="val 6907"/>
            <a:gd name="adj2" fmla="val 465729"/>
            <a:gd name="adj3" fmla="val 6269532"/>
            <a:gd name="adj4" fmla="val 3277806"/>
            <a:gd name="adj5" fmla="val 80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8609D8-BAFE-4EE1-84E5-F546FFFB1688}">
      <dsp:nvSpPr>
        <dsp:cNvPr id="0" name=""/>
        <dsp:cNvSpPr/>
      </dsp:nvSpPr>
      <dsp:spPr>
        <a:xfrm>
          <a:off x="667781" y="1177575"/>
          <a:ext cx="904739" cy="2326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en-GB" sz="1100" b="1" kern="1200" baseline="0" smtClean="0">
              <a:solidFill>
                <a:srgbClr val="000000"/>
              </a:solidFill>
              <a:latin typeface="Calibri"/>
            </a:rPr>
            <a:t>Application</a:t>
          </a:r>
          <a:endParaRPr lang="en-GB" sz="1100" kern="1200" smtClean="0"/>
        </a:p>
      </dsp:txBody>
      <dsp:txXfrm>
        <a:off x="667781" y="1177575"/>
        <a:ext cx="904739" cy="232699"/>
      </dsp:txXfrm>
    </dsp:sp>
    <dsp:sp modelId="{493381EE-F252-4674-929F-A093EBD59EB4}">
      <dsp:nvSpPr>
        <dsp:cNvPr id="0" name=""/>
        <dsp:cNvSpPr/>
      </dsp:nvSpPr>
      <dsp:spPr>
        <a:xfrm>
          <a:off x="734264" y="-72510"/>
          <a:ext cx="1627764" cy="1627764"/>
        </a:xfrm>
        <a:prstGeom prst="circularArrow">
          <a:avLst>
            <a:gd name="adj1" fmla="val 6907"/>
            <a:gd name="adj2" fmla="val 465729"/>
            <a:gd name="adj3" fmla="val 11633602"/>
            <a:gd name="adj4" fmla="val 8455779"/>
            <a:gd name="adj5" fmla="val 80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D2C9ED-E7E7-448F-ABBD-9154E64AA67A}">
      <dsp:nvSpPr>
        <dsp:cNvPr id="0" name=""/>
        <dsp:cNvSpPr/>
      </dsp:nvSpPr>
      <dsp:spPr>
        <a:xfrm>
          <a:off x="475639" y="163407"/>
          <a:ext cx="1098528" cy="3225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en-GB" sz="1100" b="1" kern="1200" baseline="0" smtClean="0">
              <a:solidFill>
                <a:srgbClr val="000000"/>
              </a:solidFill>
              <a:latin typeface="Calibri"/>
            </a:rPr>
            <a:t>Experience</a:t>
          </a:r>
          <a:endParaRPr lang="en-GB" sz="1100" kern="1200" smtClean="0"/>
        </a:p>
      </dsp:txBody>
      <dsp:txXfrm>
        <a:off x="475639" y="163407"/>
        <a:ext cx="1098528" cy="322566"/>
      </dsp:txXfrm>
    </dsp:sp>
    <dsp:sp modelId="{4A347CA6-859F-4482-9135-CC5DBAF2A693}">
      <dsp:nvSpPr>
        <dsp:cNvPr id="0" name=""/>
        <dsp:cNvSpPr/>
      </dsp:nvSpPr>
      <dsp:spPr>
        <a:xfrm>
          <a:off x="700400" y="187"/>
          <a:ext cx="1627764" cy="1627764"/>
        </a:xfrm>
        <a:prstGeom prst="circularArrow">
          <a:avLst>
            <a:gd name="adj1" fmla="val 6907"/>
            <a:gd name="adj2" fmla="val 465729"/>
            <a:gd name="adj3" fmla="val 17293921"/>
            <a:gd name="adj4" fmla="val 15004563"/>
            <a:gd name="adj5" fmla="val 805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4</cp:revision>
  <dcterms:created xsi:type="dcterms:W3CDTF">2012-08-08T13:31:00Z</dcterms:created>
  <dcterms:modified xsi:type="dcterms:W3CDTF">2012-08-08T13:37:00Z</dcterms:modified>
</cp:coreProperties>
</file>