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1F3" w:rsidRPr="0074319C" w:rsidRDefault="005A21F3" w:rsidP="00BE09C7">
      <w:pPr>
        <w:pStyle w:val="Bullets"/>
        <w:numPr>
          <w:ilvl w:val="0"/>
          <w:numId w:val="0"/>
        </w:numPr>
        <w:spacing w:after="160"/>
        <w:ind w:left="425" w:hanging="425"/>
        <w:outlineLvl w:val="1"/>
        <w:rPr>
          <w:b/>
          <w:bCs/>
          <w:sz w:val="24"/>
          <w:szCs w:val="24"/>
        </w:rPr>
      </w:pPr>
      <w:bookmarkStart w:id="0" w:name="_Toc299006294"/>
      <w:bookmarkStart w:id="1" w:name="_Toc299006854"/>
      <w:r w:rsidRPr="0074319C">
        <w:rPr>
          <w:b/>
          <w:bCs/>
          <w:sz w:val="24"/>
          <w:szCs w:val="24"/>
        </w:rPr>
        <w:t>Medical Ethics and Law</w:t>
      </w:r>
      <w:bookmarkStart w:id="2" w:name="_GoBack"/>
      <w:bookmarkEnd w:id="0"/>
      <w:bookmarkEnd w:id="1"/>
      <w:bookmarkEnd w:id="2"/>
    </w:p>
    <w:p w:rsidR="005A21F3" w:rsidRPr="0074319C" w:rsidRDefault="005A21F3" w:rsidP="00BE09C7">
      <w:pPr>
        <w:pStyle w:val="Bullets"/>
        <w:numPr>
          <w:ilvl w:val="0"/>
          <w:numId w:val="0"/>
        </w:numPr>
        <w:tabs>
          <w:tab w:val="left" w:pos="720"/>
        </w:tabs>
        <w:spacing w:after="100"/>
        <w:rPr>
          <w:snapToGrid w:val="0"/>
        </w:rPr>
      </w:pPr>
      <w:r w:rsidRPr="0074319C">
        <w:rPr>
          <w:snapToGrid w:val="0"/>
        </w:rPr>
        <w:t xml:space="preserve">The primary care rotation is part of the vertical integration programme for medical ethics and law. The aim of this programme is to help you apply and integrate your teaching in ethics and law into clinical practice.  </w:t>
      </w:r>
    </w:p>
    <w:p w:rsidR="005A21F3" w:rsidRPr="0074319C" w:rsidRDefault="005A21F3" w:rsidP="00BE09C7">
      <w:pPr>
        <w:pStyle w:val="Bullets"/>
        <w:numPr>
          <w:ilvl w:val="0"/>
          <w:numId w:val="0"/>
        </w:numPr>
        <w:tabs>
          <w:tab w:val="left" w:pos="720"/>
        </w:tabs>
        <w:spacing w:after="100"/>
        <w:rPr>
          <w:snapToGrid w:val="0"/>
        </w:rPr>
      </w:pPr>
      <w:r w:rsidRPr="0074319C">
        <w:rPr>
          <w:snapToGrid w:val="0"/>
        </w:rPr>
        <w:t>During your GP attachment you will be expected to identify and critically reflect on ethical issues raised by individual cases and to incorporate this analysis into your clinical decision making. This will be assessed as part of your patient project. Your ability to discuss ethical issues in your significant event analysis will also be assessed.</w:t>
      </w:r>
    </w:p>
    <w:p w:rsidR="005A21F3" w:rsidRPr="0074319C" w:rsidRDefault="005A21F3" w:rsidP="00BE09C7">
      <w:pPr>
        <w:pStyle w:val="Bullets"/>
        <w:numPr>
          <w:ilvl w:val="0"/>
          <w:numId w:val="0"/>
        </w:numPr>
        <w:tabs>
          <w:tab w:val="left" w:pos="720"/>
        </w:tabs>
        <w:spacing w:after="100"/>
        <w:rPr>
          <w:snapToGrid w:val="0"/>
        </w:rPr>
      </w:pPr>
      <w:r w:rsidRPr="0074319C">
        <w:rPr>
          <w:snapToGrid w:val="0"/>
        </w:rPr>
        <w:t xml:space="preserve">We have created a series of e-modules to help you refresh yourself on the key areas in ethics and law. The e-modules are in the </w:t>
      </w:r>
      <w:r w:rsidR="00582AF5" w:rsidRPr="0074319C">
        <w:rPr>
          <w:snapToGrid w:val="0"/>
        </w:rPr>
        <w:t>Y</w:t>
      </w:r>
      <w:r w:rsidRPr="0074319C">
        <w:rPr>
          <w:snapToGrid w:val="0"/>
        </w:rPr>
        <w:t xml:space="preserve">ear 5 Ethics and Law area on Blackboard. </w:t>
      </w:r>
      <w:r w:rsidRPr="0074319C">
        <w:rPr>
          <w:snapToGrid w:val="0"/>
        </w:rPr>
        <w:br/>
        <w:t>They are based on teaching material in Year 2 and 3, so that the content should be familiar to you. There are 6 e-modules:</w:t>
      </w:r>
    </w:p>
    <w:p w:rsidR="005A21F3" w:rsidRPr="0074319C" w:rsidRDefault="005A21F3" w:rsidP="00BE09C7">
      <w:pPr>
        <w:pStyle w:val="Bullets"/>
        <w:numPr>
          <w:ilvl w:val="0"/>
          <w:numId w:val="2"/>
        </w:numPr>
        <w:spacing w:after="100"/>
        <w:rPr>
          <w:snapToGrid w:val="0"/>
        </w:rPr>
      </w:pPr>
      <w:r w:rsidRPr="0074319C">
        <w:rPr>
          <w:snapToGrid w:val="0"/>
        </w:rPr>
        <w:t>Consent, Capacity and Refusals in Adults</w:t>
      </w:r>
    </w:p>
    <w:p w:rsidR="005A21F3" w:rsidRPr="0074319C" w:rsidRDefault="005A21F3" w:rsidP="00BE09C7">
      <w:pPr>
        <w:pStyle w:val="Bullets"/>
        <w:numPr>
          <w:ilvl w:val="0"/>
          <w:numId w:val="2"/>
        </w:numPr>
        <w:spacing w:after="100"/>
        <w:rPr>
          <w:snapToGrid w:val="0"/>
        </w:rPr>
      </w:pPr>
      <w:r w:rsidRPr="0074319C">
        <w:rPr>
          <w:snapToGrid w:val="0"/>
        </w:rPr>
        <w:t>Confidentiality</w:t>
      </w:r>
    </w:p>
    <w:p w:rsidR="005A21F3" w:rsidRPr="0074319C" w:rsidRDefault="005A21F3" w:rsidP="00BE09C7">
      <w:pPr>
        <w:pStyle w:val="Bullets"/>
        <w:numPr>
          <w:ilvl w:val="0"/>
          <w:numId w:val="2"/>
        </w:numPr>
        <w:spacing w:after="100"/>
        <w:rPr>
          <w:snapToGrid w:val="0"/>
        </w:rPr>
      </w:pPr>
      <w:r w:rsidRPr="0074319C">
        <w:rPr>
          <w:snapToGrid w:val="0"/>
        </w:rPr>
        <w:t>Resource allocation</w:t>
      </w:r>
    </w:p>
    <w:p w:rsidR="005A21F3" w:rsidRPr="0074319C" w:rsidRDefault="005A21F3" w:rsidP="00BE09C7">
      <w:pPr>
        <w:pStyle w:val="Bullets"/>
        <w:numPr>
          <w:ilvl w:val="0"/>
          <w:numId w:val="2"/>
        </w:numPr>
        <w:spacing w:after="100"/>
        <w:rPr>
          <w:snapToGrid w:val="0"/>
        </w:rPr>
      </w:pPr>
      <w:r w:rsidRPr="0074319C">
        <w:rPr>
          <w:snapToGrid w:val="0"/>
        </w:rPr>
        <w:t>Children and the law</w:t>
      </w:r>
    </w:p>
    <w:p w:rsidR="005A21F3" w:rsidRPr="0074319C" w:rsidRDefault="005A21F3" w:rsidP="00BE09C7">
      <w:pPr>
        <w:pStyle w:val="Bullets"/>
        <w:numPr>
          <w:ilvl w:val="0"/>
          <w:numId w:val="2"/>
        </w:numPr>
        <w:spacing w:after="100"/>
        <w:rPr>
          <w:snapToGrid w:val="0"/>
        </w:rPr>
      </w:pPr>
      <w:r w:rsidRPr="0074319C">
        <w:rPr>
          <w:snapToGrid w:val="0"/>
        </w:rPr>
        <w:t>Abortion and disability</w:t>
      </w:r>
    </w:p>
    <w:p w:rsidR="005A21F3" w:rsidRPr="0074319C" w:rsidRDefault="005A21F3" w:rsidP="00BE09C7">
      <w:pPr>
        <w:pStyle w:val="Bullets"/>
        <w:numPr>
          <w:ilvl w:val="0"/>
          <w:numId w:val="2"/>
        </w:numPr>
        <w:spacing w:after="100"/>
        <w:rPr>
          <w:snapToGrid w:val="0"/>
        </w:rPr>
      </w:pPr>
      <w:r w:rsidRPr="0074319C">
        <w:rPr>
          <w:snapToGrid w:val="0"/>
          <w:color w:val="1F497D"/>
        </w:rPr>
        <w:t>The</w:t>
      </w:r>
      <w:r w:rsidRPr="0074319C">
        <w:rPr>
          <w:snapToGrid w:val="0"/>
        </w:rPr>
        <w:t xml:space="preserve"> Mental Capacity Act</w:t>
      </w:r>
    </w:p>
    <w:p w:rsidR="00BE09C7" w:rsidRPr="0074319C" w:rsidRDefault="00BE09C7" w:rsidP="00BE09C7">
      <w:pPr>
        <w:pStyle w:val="Bullets"/>
        <w:numPr>
          <w:ilvl w:val="0"/>
          <w:numId w:val="0"/>
        </w:numPr>
        <w:tabs>
          <w:tab w:val="left" w:pos="720"/>
        </w:tabs>
        <w:spacing w:after="0"/>
        <w:rPr>
          <w:snapToGrid w:val="0"/>
        </w:rPr>
      </w:pPr>
    </w:p>
    <w:p w:rsidR="005A21F3" w:rsidRPr="0074319C" w:rsidRDefault="005A21F3" w:rsidP="005A21F3">
      <w:pPr>
        <w:pStyle w:val="Bullets"/>
        <w:numPr>
          <w:ilvl w:val="0"/>
          <w:numId w:val="0"/>
        </w:numPr>
        <w:tabs>
          <w:tab w:val="left" w:pos="720"/>
        </w:tabs>
        <w:rPr>
          <w:snapToGrid w:val="0"/>
        </w:rPr>
      </w:pPr>
      <w:r w:rsidRPr="0074319C">
        <w:rPr>
          <w:snapToGrid w:val="0"/>
        </w:rPr>
        <w:t xml:space="preserve">The e-modules are designed to be used flexibly. Each module has a self-assessment section for you to review your learning and understanding. By the end of Year 5 you should have completed all six modules. During this attachment the </w:t>
      </w:r>
      <w:r w:rsidRPr="0074319C">
        <w:rPr>
          <w:b/>
          <w:bCs/>
          <w:snapToGrid w:val="0"/>
        </w:rPr>
        <w:t>self-assessment</w:t>
      </w:r>
      <w:r w:rsidR="0074319C">
        <w:rPr>
          <w:b/>
          <w:bCs/>
          <w:snapToGrid w:val="0"/>
        </w:rPr>
        <w:t xml:space="preserve"> </w:t>
      </w:r>
      <w:r w:rsidRPr="0074319C">
        <w:rPr>
          <w:b/>
          <w:bCs/>
          <w:snapToGrid w:val="0"/>
        </w:rPr>
        <w:t xml:space="preserve">section of the confidentiality e-module </w:t>
      </w:r>
      <w:r w:rsidRPr="0074319C">
        <w:rPr>
          <w:snapToGrid w:val="0"/>
        </w:rPr>
        <w:t>is part of your assessment. Plea</w:t>
      </w:r>
      <w:r w:rsidR="00BE09C7" w:rsidRPr="0074319C">
        <w:rPr>
          <w:snapToGrid w:val="0"/>
        </w:rPr>
        <w:t>se print off your e-module self-</w:t>
      </w:r>
      <w:r w:rsidRPr="0074319C">
        <w:rPr>
          <w:snapToGrid w:val="0"/>
        </w:rPr>
        <w:t xml:space="preserve">assessment report and submit it with the rest of your coursework. </w:t>
      </w:r>
    </w:p>
    <w:p w:rsidR="004533A8" w:rsidRPr="0074319C" w:rsidRDefault="004533A8"/>
    <w:p w:rsidR="0072434A" w:rsidRPr="0074319C" w:rsidRDefault="0072434A"/>
    <w:p w:rsidR="0072434A" w:rsidRPr="0074319C" w:rsidRDefault="0072434A"/>
    <w:p w:rsidR="0072434A" w:rsidRPr="0074319C" w:rsidRDefault="0072434A"/>
    <w:p w:rsidR="0072434A" w:rsidRPr="0074319C" w:rsidRDefault="0072434A"/>
    <w:p w:rsidR="0072434A" w:rsidRPr="0074319C" w:rsidRDefault="0072434A" w:rsidP="0072434A">
      <w:pPr>
        <w:pStyle w:val="PlainText"/>
        <w:rPr>
          <w:rFonts w:ascii="Arial" w:hAnsi="Arial" w:cs="Arial"/>
          <w:b/>
        </w:rPr>
      </w:pPr>
      <w:r w:rsidRPr="0074319C">
        <w:rPr>
          <w:rFonts w:ascii="Arial" w:hAnsi="Arial" w:cs="Arial"/>
          <w:b/>
        </w:rPr>
        <w:t xml:space="preserve">If you are having problems accessing the Confidentiality e-module please </w:t>
      </w:r>
      <w:proofErr w:type="gramStart"/>
      <w:r w:rsidRPr="0074319C">
        <w:rPr>
          <w:rFonts w:ascii="Arial" w:hAnsi="Arial" w:cs="Arial"/>
          <w:b/>
        </w:rPr>
        <w:t>see</w:t>
      </w:r>
      <w:proofErr w:type="gramEnd"/>
      <w:r w:rsidRPr="0074319C">
        <w:rPr>
          <w:rFonts w:ascii="Arial" w:hAnsi="Arial" w:cs="Arial"/>
          <w:b/>
        </w:rPr>
        <w:t xml:space="preserve"> below</w:t>
      </w:r>
    </w:p>
    <w:p w:rsidR="0072434A" w:rsidRPr="0074319C" w:rsidRDefault="0072434A" w:rsidP="0072434A">
      <w:pPr>
        <w:pStyle w:val="PlainText"/>
        <w:rPr>
          <w:rFonts w:ascii="Arial" w:hAnsi="Arial" w:cs="Arial"/>
        </w:rPr>
      </w:pPr>
    </w:p>
    <w:p w:rsidR="0072434A" w:rsidRPr="0074319C" w:rsidRDefault="0072434A" w:rsidP="0072434A">
      <w:pPr>
        <w:pStyle w:val="PlainText"/>
        <w:rPr>
          <w:rFonts w:ascii="Arial" w:hAnsi="Arial" w:cs="Arial"/>
          <w:sz w:val="20"/>
        </w:rPr>
      </w:pPr>
      <w:r w:rsidRPr="0074319C">
        <w:rPr>
          <w:rFonts w:ascii="Arial" w:hAnsi="Arial" w:cs="Arial"/>
          <w:sz w:val="20"/>
        </w:rPr>
        <w:t xml:space="preserve">To access content in Blackboard the browser must be configured correctly, if not the content will be blocked. Please note that there is only a choice of 3 browsers which are supported by Blackboard, Internet Explorer, </w:t>
      </w:r>
      <w:proofErr w:type="gramStart"/>
      <w:r w:rsidRPr="0074319C">
        <w:rPr>
          <w:rFonts w:ascii="Arial" w:hAnsi="Arial" w:cs="Arial"/>
          <w:sz w:val="20"/>
        </w:rPr>
        <w:t>Firefox</w:t>
      </w:r>
      <w:proofErr w:type="gramEnd"/>
      <w:r w:rsidRPr="0074319C">
        <w:rPr>
          <w:rFonts w:ascii="Arial" w:hAnsi="Arial" w:cs="Arial"/>
          <w:sz w:val="20"/>
        </w:rPr>
        <w:t xml:space="preserve"> &amp; Safari; not all versions of these browsers are compatible. Please see this link for a list of compatible operating systems/browsers: </w:t>
      </w:r>
      <w:hyperlink r:id="rId6" w:history="1">
        <w:r w:rsidRPr="0074319C">
          <w:rPr>
            <w:rStyle w:val="Hyperlink"/>
            <w:rFonts w:ascii="Arial" w:hAnsi="Arial" w:cs="Arial"/>
            <w:sz w:val="20"/>
            <w:u w:val="none"/>
          </w:rPr>
          <w:t>http://kb.blackboard.com/pages/viewpage.action?pageId=76087304</w:t>
        </w:r>
      </w:hyperlink>
    </w:p>
    <w:p w:rsidR="0072434A" w:rsidRPr="0074319C" w:rsidRDefault="0072434A" w:rsidP="0072434A">
      <w:pPr>
        <w:pStyle w:val="PlainText"/>
        <w:rPr>
          <w:rFonts w:ascii="Arial" w:hAnsi="Arial" w:cs="Arial"/>
          <w:sz w:val="20"/>
        </w:rPr>
      </w:pPr>
    </w:p>
    <w:p w:rsidR="0072434A" w:rsidRPr="0074319C" w:rsidRDefault="0072434A" w:rsidP="0072434A">
      <w:pPr>
        <w:pStyle w:val="PlainText"/>
        <w:rPr>
          <w:rFonts w:ascii="Arial" w:hAnsi="Arial" w:cs="Arial"/>
          <w:sz w:val="20"/>
        </w:rPr>
      </w:pPr>
      <w:r w:rsidRPr="0074319C">
        <w:rPr>
          <w:rFonts w:ascii="Arial" w:hAnsi="Arial" w:cs="Arial"/>
          <w:sz w:val="20"/>
        </w:rPr>
        <w:t xml:space="preserve">If you continue to have problems it may be an issue with Java. Please also change the Java settings so it doesn’t automatically update back to the latest version by right clicking the Java icon (will appear on the bottom right of the taskbar, when logged into Blackboard) and then select </w:t>
      </w:r>
      <w:r w:rsidRPr="0074319C">
        <w:rPr>
          <w:rFonts w:ascii="Arial" w:hAnsi="Arial" w:cs="Arial"/>
          <w:b/>
          <w:bCs/>
          <w:sz w:val="20"/>
        </w:rPr>
        <w:t>‘Open Control Panel’</w:t>
      </w:r>
      <w:r w:rsidRPr="0074319C">
        <w:rPr>
          <w:rFonts w:ascii="Arial" w:hAnsi="Arial" w:cs="Arial"/>
          <w:sz w:val="20"/>
        </w:rPr>
        <w:t xml:space="preserve">. Select the </w:t>
      </w:r>
      <w:r w:rsidRPr="0074319C">
        <w:rPr>
          <w:rFonts w:ascii="Arial" w:hAnsi="Arial" w:cs="Arial"/>
          <w:b/>
          <w:bCs/>
          <w:sz w:val="20"/>
        </w:rPr>
        <w:t>‘Advanced’ tab</w:t>
      </w:r>
      <w:r w:rsidRPr="0074319C">
        <w:rPr>
          <w:rFonts w:ascii="Arial" w:hAnsi="Arial" w:cs="Arial"/>
          <w:sz w:val="20"/>
        </w:rPr>
        <w:t xml:space="preserve">, expand the </w:t>
      </w:r>
      <w:r w:rsidRPr="0074319C">
        <w:rPr>
          <w:rFonts w:ascii="Arial" w:hAnsi="Arial" w:cs="Arial"/>
          <w:b/>
          <w:bCs/>
          <w:sz w:val="20"/>
        </w:rPr>
        <w:t>‘JRE Auto-download’</w:t>
      </w:r>
      <w:r w:rsidRPr="0074319C">
        <w:rPr>
          <w:rFonts w:ascii="Arial" w:hAnsi="Arial" w:cs="Arial"/>
          <w:sz w:val="20"/>
        </w:rPr>
        <w:t xml:space="preserve"> and select </w:t>
      </w:r>
      <w:r w:rsidRPr="0074319C">
        <w:rPr>
          <w:rFonts w:ascii="Arial" w:hAnsi="Arial" w:cs="Arial"/>
          <w:b/>
          <w:bCs/>
          <w:sz w:val="20"/>
        </w:rPr>
        <w:t>‘</w:t>
      </w:r>
      <w:proofErr w:type="gramStart"/>
      <w:r w:rsidRPr="0074319C">
        <w:rPr>
          <w:rFonts w:ascii="Arial" w:hAnsi="Arial" w:cs="Arial"/>
          <w:b/>
          <w:bCs/>
          <w:sz w:val="20"/>
        </w:rPr>
        <w:t>Never</w:t>
      </w:r>
      <w:proofErr w:type="gramEnd"/>
      <w:r w:rsidRPr="0074319C">
        <w:rPr>
          <w:rFonts w:ascii="Arial" w:hAnsi="Arial" w:cs="Arial"/>
          <w:b/>
          <w:bCs/>
          <w:sz w:val="20"/>
        </w:rPr>
        <w:t xml:space="preserve"> Auto-download’</w:t>
      </w:r>
      <w:r w:rsidRPr="0074319C">
        <w:rPr>
          <w:rFonts w:ascii="Arial" w:hAnsi="Arial" w:cs="Arial"/>
          <w:sz w:val="20"/>
        </w:rPr>
        <w:t xml:space="preserve">. Finally click </w:t>
      </w:r>
      <w:r w:rsidRPr="0074319C">
        <w:rPr>
          <w:rFonts w:ascii="Arial" w:hAnsi="Arial" w:cs="Arial"/>
          <w:b/>
          <w:bCs/>
          <w:sz w:val="20"/>
        </w:rPr>
        <w:t>‘Apply’</w:t>
      </w:r>
      <w:r w:rsidRPr="0074319C">
        <w:rPr>
          <w:rFonts w:ascii="Arial" w:hAnsi="Arial" w:cs="Arial"/>
          <w:sz w:val="20"/>
        </w:rPr>
        <w:t xml:space="preserve">, then </w:t>
      </w:r>
      <w:r w:rsidRPr="0074319C">
        <w:rPr>
          <w:rFonts w:ascii="Arial" w:hAnsi="Arial" w:cs="Arial"/>
          <w:b/>
          <w:bCs/>
          <w:sz w:val="20"/>
        </w:rPr>
        <w:t>‘ok’</w:t>
      </w:r>
      <w:r w:rsidRPr="0074319C">
        <w:rPr>
          <w:rFonts w:ascii="Arial" w:hAnsi="Arial" w:cs="Arial"/>
          <w:sz w:val="20"/>
        </w:rPr>
        <w:t xml:space="preserve">. </w:t>
      </w:r>
    </w:p>
    <w:p w:rsidR="0072434A" w:rsidRPr="0074319C" w:rsidRDefault="0072434A" w:rsidP="0072434A">
      <w:pPr>
        <w:pStyle w:val="PlainText"/>
        <w:rPr>
          <w:rFonts w:ascii="Arial" w:hAnsi="Arial" w:cs="Arial"/>
          <w:sz w:val="20"/>
        </w:rPr>
      </w:pPr>
    </w:p>
    <w:p w:rsidR="0072434A" w:rsidRPr="0074319C" w:rsidRDefault="0072434A" w:rsidP="0072434A">
      <w:pPr>
        <w:pStyle w:val="PlainText"/>
        <w:rPr>
          <w:rFonts w:ascii="Arial" w:hAnsi="Arial" w:cs="Arial"/>
          <w:sz w:val="20"/>
        </w:rPr>
      </w:pPr>
      <w:r w:rsidRPr="0074319C">
        <w:rPr>
          <w:rFonts w:ascii="Arial" w:hAnsi="Arial" w:cs="Arial"/>
          <w:sz w:val="20"/>
        </w:rPr>
        <w:t>Then reboot your machine, try and access the content within Blackboard again.</w:t>
      </w:r>
    </w:p>
    <w:p w:rsidR="0072434A" w:rsidRPr="0074319C" w:rsidRDefault="0072434A" w:rsidP="0072434A">
      <w:pPr>
        <w:pStyle w:val="PlainText"/>
        <w:rPr>
          <w:rFonts w:ascii="Arial" w:hAnsi="Arial" w:cs="Arial"/>
        </w:rPr>
      </w:pPr>
    </w:p>
    <w:p w:rsidR="0072434A" w:rsidRPr="0074319C" w:rsidRDefault="0072434A" w:rsidP="0072434A">
      <w:pPr>
        <w:pStyle w:val="PlainText"/>
        <w:rPr>
          <w:rFonts w:ascii="Arial" w:hAnsi="Arial" w:cs="Arial"/>
        </w:rPr>
      </w:pPr>
    </w:p>
    <w:sectPr w:rsidR="0072434A" w:rsidRPr="0074319C" w:rsidSect="0074319C">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6893"/>
    <w:multiLevelType w:val="hybridMultilevel"/>
    <w:tmpl w:val="061EE8A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6CCA47E4"/>
    <w:multiLevelType w:val="hybridMultilevel"/>
    <w:tmpl w:val="00FC077C"/>
    <w:lvl w:ilvl="0" w:tplc="FFFFFFFF">
      <w:start w:val="1"/>
      <w:numFmt w:val="bullet"/>
      <w:pStyle w:val="Bullets"/>
      <w:lvlText w:val=""/>
      <w:lvlJc w:val="left"/>
      <w:pPr>
        <w:tabs>
          <w:tab w:val="num" w:pos="425"/>
        </w:tabs>
        <w:ind w:left="425" w:hanging="425"/>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1F3"/>
    <w:rsid w:val="004533A8"/>
    <w:rsid w:val="00582AF5"/>
    <w:rsid w:val="005A21F3"/>
    <w:rsid w:val="0072434A"/>
    <w:rsid w:val="0074319C"/>
    <w:rsid w:val="00BE0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uiPriority w:val="99"/>
    <w:rsid w:val="005A21F3"/>
    <w:pPr>
      <w:numPr>
        <w:numId w:val="1"/>
      </w:numPr>
      <w:spacing w:after="120"/>
    </w:pPr>
    <w:rPr>
      <w:rFonts w:eastAsia="Times New Roman"/>
    </w:rPr>
  </w:style>
  <w:style w:type="character" w:styleId="Hyperlink">
    <w:name w:val="Hyperlink"/>
    <w:basedOn w:val="DefaultParagraphFont"/>
    <w:uiPriority w:val="99"/>
    <w:unhideWhenUsed/>
    <w:rsid w:val="0072434A"/>
    <w:rPr>
      <w:color w:val="0000FF"/>
      <w:u w:val="single"/>
    </w:rPr>
  </w:style>
  <w:style w:type="paragraph" w:styleId="PlainText">
    <w:name w:val="Plain Text"/>
    <w:basedOn w:val="Normal"/>
    <w:link w:val="PlainTextChar"/>
    <w:uiPriority w:val="99"/>
    <w:semiHidden/>
    <w:unhideWhenUsed/>
    <w:rsid w:val="0072434A"/>
    <w:rPr>
      <w:rFonts w:ascii="Calibri" w:hAnsi="Calibri" w:cs="Calibri"/>
      <w:lang w:eastAsia="en-GB"/>
    </w:rPr>
  </w:style>
  <w:style w:type="character" w:customStyle="1" w:styleId="PlainTextChar">
    <w:name w:val="Plain Text Char"/>
    <w:basedOn w:val="DefaultParagraphFont"/>
    <w:link w:val="PlainText"/>
    <w:uiPriority w:val="99"/>
    <w:semiHidden/>
    <w:rsid w:val="0072434A"/>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uiPriority w:val="99"/>
    <w:rsid w:val="005A21F3"/>
    <w:pPr>
      <w:numPr>
        <w:numId w:val="1"/>
      </w:numPr>
      <w:spacing w:after="120"/>
    </w:pPr>
    <w:rPr>
      <w:rFonts w:eastAsia="Times New Roman"/>
    </w:rPr>
  </w:style>
  <w:style w:type="character" w:styleId="Hyperlink">
    <w:name w:val="Hyperlink"/>
    <w:basedOn w:val="DefaultParagraphFont"/>
    <w:uiPriority w:val="99"/>
    <w:unhideWhenUsed/>
    <w:rsid w:val="0072434A"/>
    <w:rPr>
      <w:color w:val="0000FF"/>
      <w:u w:val="single"/>
    </w:rPr>
  </w:style>
  <w:style w:type="paragraph" w:styleId="PlainText">
    <w:name w:val="Plain Text"/>
    <w:basedOn w:val="Normal"/>
    <w:link w:val="PlainTextChar"/>
    <w:uiPriority w:val="99"/>
    <w:semiHidden/>
    <w:unhideWhenUsed/>
    <w:rsid w:val="0072434A"/>
    <w:rPr>
      <w:rFonts w:ascii="Calibri" w:hAnsi="Calibri" w:cs="Calibri"/>
      <w:lang w:eastAsia="en-GB"/>
    </w:rPr>
  </w:style>
  <w:style w:type="character" w:customStyle="1" w:styleId="PlainTextChar">
    <w:name w:val="Plain Text Char"/>
    <w:basedOn w:val="DefaultParagraphFont"/>
    <w:link w:val="PlainText"/>
    <w:uiPriority w:val="99"/>
    <w:semiHidden/>
    <w:rsid w:val="0072434A"/>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86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b.blackboard.com/pages/viewpage.action?pageId=7608730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2179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Woodhouse, Kate</dc:creator>
  <cp:lastModifiedBy>Shiel, Nuala</cp:lastModifiedBy>
  <cp:revision>2</cp:revision>
  <dcterms:created xsi:type="dcterms:W3CDTF">2012-09-03T10:47:00Z</dcterms:created>
  <dcterms:modified xsi:type="dcterms:W3CDTF">2012-09-03T10:47:00Z</dcterms:modified>
</cp:coreProperties>
</file>