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EA" w:rsidRDefault="00A67B66" w:rsidP="00CB37EA">
      <w:pPr>
        <w:tabs>
          <w:tab w:val="left" w:pos="8748"/>
          <w:tab w:val="left" w:pos="9854"/>
        </w:tabs>
        <w:rPr>
          <w:b/>
          <w:bCs/>
          <w:sz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-329565</wp:posOffset>
                </wp:positionV>
                <wp:extent cx="4986020" cy="419100"/>
                <wp:effectExtent l="12065" t="13335" r="1206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0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E4D" w:rsidRPr="00804E4D" w:rsidRDefault="00804E4D">
                            <w:pPr>
                              <w:rPr>
                                <w:color w:val="0070C0"/>
                              </w:rPr>
                            </w:pPr>
                            <w:r w:rsidRPr="00804E4D">
                              <w:rPr>
                                <w:color w:val="0070C0"/>
                              </w:rPr>
                              <w:t>This type of SAQ could be used in any module. Note that the space available gives you an idea how much to write.</w:t>
                            </w:r>
                            <w:r w:rsidR="00A67B66">
                              <w:rPr>
                                <w:color w:val="0070C0"/>
                              </w:rPr>
                              <w:t xml:space="preserve">  </w:t>
                            </w:r>
                            <w:r w:rsidRPr="00804E4D">
                              <w:rPr>
                                <w:color w:val="0070C0"/>
                              </w:rPr>
                              <w:t>Note also that SAQs may take other formats.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95pt;margin-top:-25.95pt;width:392.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">
                <v:textbox>
                  <w:txbxContent>
                    <w:p w:rsidR="00804E4D" w:rsidRPr="00804E4D" w:rsidRDefault="00804E4D">
                      <w:pPr>
                        <w:rPr>
                          <w:color w:val="0070C0"/>
                        </w:rPr>
                      </w:pPr>
                      <w:r w:rsidRPr="00804E4D">
                        <w:rPr>
                          <w:color w:val="0070C0"/>
                        </w:rPr>
                        <w:t>This type of SAQ could be used in any module. Note that the space available gives you an idea how much to write.</w:t>
                      </w:r>
                      <w:r w:rsidR="00A67B66">
                        <w:rPr>
                          <w:color w:val="0070C0"/>
                        </w:rPr>
                        <w:t xml:space="preserve">  </w:t>
                      </w:r>
                      <w:r w:rsidRPr="00804E4D">
                        <w:rPr>
                          <w:color w:val="0070C0"/>
                        </w:rPr>
                        <w:t>Note also that SAQs may take other formats.</w:t>
                      </w:r>
                    </w:p>
                  </w:txbxContent>
                </v:textbox>
              </v:shape>
            </w:pict>
          </mc:Fallback>
        </mc:AlternateContent>
      </w:r>
    </w:p>
    <w:p w:rsidR="00CB37EA" w:rsidRDefault="00CB37EA" w:rsidP="00CB37EA">
      <w:pPr>
        <w:tabs>
          <w:tab w:val="left" w:pos="8748"/>
          <w:tab w:val="left" w:pos="9854"/>
        </w:tabs>
        <w:rPr>
          <w:b/>
          <w:bCs/>
          <w:sz w:val="4"/>
        </w:rPr>
      </w:pPr>
    </w:p>
    <w:p w:rsidR="00CB37EA" w:rsidRDefault="00CB37EA" w:rsidP="00CB37EA">
      <w:pPr>
        <w:tabs>
          <w:tab w:val="left" w:pos="8748"/>
          <w:tab w:val="left" w:pos="9854"/>
        </w:tabs>
        <w:rPr>
          <w:b/>
          <w:bCs/>
          <w:sz w:val="4"/>
        </w:rPr>
      </w:pPr>
    </w:p>
    <w:p w:rsidR="00CB37EA" w:rsidRDefault="00CB37EA" w:rsidP="00CB37EA">
      <w:pPr>
        <w:tabs>
          <w:tab w:val="left" w:pos="8748"/>
          <w:tab w:val="left" w:pos="9854"/>
        </w:tabs>
        <w:rPr>
          <w:b/>
          <w:bCs/>
          <w:sz w:val="4"/>
        </w:rPr>
      </w:pPr>
    </w:p>
    <w:p w:rsidR="00CB37EA" w:rsidRDefault="00CB37EA" w:rsidP="00CB37EA">
      <w:pPr>
        <w:tabs>
          <w:tab w:val="left" w:pos="8748"/>
          <w:tab w:val="left" w:pos="9854"/>
        </w:tabs>
        <w:rPr>
          <w:b/>
          <w:bCs/>
          <w:sz w:val="4"/>
        </w:rPr>
      </w:pPr>
    </w:p>
    <w:p w:rsidR="00CB37EA" w:rsidRDefault="00CB37EA" w:rsidP="00CB37EA">
      <w:pPr>
        <w:tabs>
          <w:tab w:val="left" w:pos="8748"/>
          <w:tab w:val="left" w:pos="9854"/>
        </w:tabs>
        <w:rPr>
          <w:b/>
          <w:bCs/>
          <w:sz w:val="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1283"/>
      </w:tblGrid>
      <w:tr w:rsidR="00CB37EA" w:rsidRPr="005144DC" w:rsidTr="003D59FF"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CB37EA" w:rsidRDefault="00CB37EA" w:rsidP="003D59FF">
            <w:pPr>
              <w:pStyle w:val="Heading1"/>
            </w:pPr>
            <w:r w:rsidRPr="005144DC">
              <w:t>SAQ 2</w:t>
            </w:r>
          </w:p>
          <w:p w:rsidR="00014F4A" w:rsidRPr="00014F4A" w:rsidRDefault="00014F4A" w:rsidP="00014F4A">
            <w:r>
              <w:t>You should spend about 15 minutes on this SAQ.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CB37EA" w:rsidRPr="005144DC" w:rsidRDefault="00CB37EA" w:rsidP="003D59FF">
            <w:pPr>
              <w:rPr>
                <w:b/>
                <w:bCs/>
              </w:rPr>
            </w:pPr>
            <w:r w:rsidRPr="005144DC">
              <w:rPr>
                <w:b/>
                <w:bCs/>
              </w:rPr>
              <w:t>Examiner Use Only</w:t>
            </w:r>
          </w:p>
        </w:tc>
      </w:tr>
      <w:tr w:rsidR="00CB37EA" w:rsidRPr="005144DC" w:rsidTr="003D59FF">
        <w:trPr>
          <w:cantSplit/>
        </w:trPr>
        <w:tc>
          <w:tcPr>
            <w:tcW w:w="8748" w:type="dxa"/>
            <w:vMerge w:val="restart"/>
            <w:tcBorders>
              <w:top w:val="nil"/>
              <w:left w:val="nil"/>
              <w:bottom w:val="nil"/>
            </w:tcBorders>
          </w:tcPr>
          <w:p w:rsidR="00CB37EA" w:rsidRPr="005144DC" w:rsidRDefault="00CB37EA" w:rsidP="003D59FF">
            <w:pPr>
              <w:jc w:val="both"/>
              <w:rPr>
                <w:sz w:val="22"/>
              </w:rPr>
            </w:pPr>
            <w:r w:rsidRPr="005144DC">
              <w:rPr>
                <w:sz w:val="22"/>
              </w:rPr>
              <w:t>Explain why haemophilia is an attractive target for gene therapy</w:t>
            </w:r>
            <w:r>
              <w:rPr>
                <w:sz w:val="22"/>
              </w:rPr>
              <w:t>.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CB37EA" w:rsidRPr="005144DC" w:rsidRDefault="00CB37EA" w:rsidP="003D59FF">
            <w:pPr>
              <w:jc w:val="both"/>
            </w:pPr>
            <w:r>
              <w:t xml:space="preserve">4 </w:t>
            </w:r>
            <w:r w:rsidRPr="005144DC">
              <w:t>Marks</w:t>
            </w:r>
          </w:p>
        </w:tc>
      </w:tr>
      <w:tr w:rsidR="00CB37EA" w:rsidRPr="005144DC" w:rsidTr="003D59FF">
        <w:trPr>
          <w:cantSplit/>
        </w:trPr>
        <w:tc>
          <w:tcPr>
            <w:tcW w:w="8748" w:type="dxa"/>
            <w:vMerge/>
            <w:tcBorders>
              <w:top w:val="nil"/>
              <w:left w:val="nil"/>
              <w:bottom w:val="nil"/>
            </w:tcBorders>
          </w:tcPr>
          <w:p w:rsidR="00CB37EA" w:rsidRPr="005144DC" w:rsidRDefault="00CB37EA" w:rsidP="003D59FF">
            <w:pPr>
              <w:jc w:val="both"/>
              <w:rPr>
                <w:b/>
                <w:bCs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CB37EA" w:rsidRPr="005144DC" w:rsidRDefault="00CB37EA" w:rsidP="003D59FF"/>
        </w:tc>
      </w:tr>
      <w:tr w:rsidR="00CB37EA" w:rsidRPr="005144DC" w:rsidTr="003D59FF"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CB37EA" w:rsidRPr="005144DC" w:rsidRDefault="00CB37EA" w:rsidP="003D59FF"/>
          <w:p w:rsidR="00996894" w:rsidRDefault="00996894" w:rsidP="009C27C6">
            <w:bookmarkStart w:id="0" w:name="_GoBack"/>
            <w:bookmarkEnd w:id="0"/>
          </w:p>
          <w:p w:rsidR="00996894" w:rsidRDefault="00996894" w:rsidP="009C27C6"/>
          <w:p w:rsidR="00996894" w:rsidRDefault="00996894" w:rsidP="009C27C6"/>
          <w:p w:rsidR="00804E4D" w:rsidRDefault="00804E4D" w:rsidP="009C27C6"/>
          <w:p w:rsidR="00996894" w:rsidRDefault="00996894" w:rsidP="009C27C6"/>
          <w:p w:rsidR="00804E4D" w:rsidRDefault="00804E4D" w:rsidP="009C27C6"/>
          <w:p w:rsidR="00996894" w:rsidRDefault="00996894" w:rsidP="009C27C6"/>
          <w:p w:rsidR="00CB37EA" w:rsidRPr="005144DC" w:rsidRDefault="009C27C6" w:rsidP="009C27C6">
            <w:r>
              <w:t xml:space="preserve">  </w:t>
            </w:r>
          </w:p>
          <w:p w:rsidR="00CB37EA" w:rsidRPr="005144DC" w:rsidRDefault="00CB37EA" w:rsidP="003D59FF"/>
          <w:p w:rsidR="00CB37EA" w:rsidRPr="005144DC" w:rsidRDefault="00571448" w:rsidP="003D59F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CB37EA" w:rsidRPr="005144DC" w:rsidRDefault="00CB37EA" w:rsidP="003D59FF"/>
          <w:p w:rsidR="00CB37EA" w:rsidRPr="005144DC" w:rsidRDefault="00CB37EA" w:rsidP="003D59FF"/>
        </w:tc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CB37EA" w:rsidRPr="005144DC" w:rsidRDefault="00CB37EA" w:rsidP="003D59FF"/>
        </w:tc>
      </w:tr>
      <w:tr w:rsidR="00CB37EA" w:rsidRPr="005144DC" w:rsidTr="003D59FF"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CB37EA" w:rsidRPr="005144DC" w:rsidRDefault="00CB37EA" w:rsidP="003D59FF"/>
          <w:p w:rsidR="00CB37EA" w:rsidRPr="005144DC" w:rsidRDefault="00CB37EA" w:rsidP="003D59FF"/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CB37EA" w:rsidRPr="005144DC" w:rsidRDefault="00CB37EA" w:rsidP="003D59FF">
            <w:r w:rsidRPr="005144DC">
              <w:t>Mark</w:t>
            </w:r>
          </w:p>
        </w:tc>
      </w:tr>
      <w:tr w:rsidR="00CB37EA" w:rsidRPr="005144DC" w:rsidTr="003D59FF"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CB37EA" w:rsidRPr="008B6375" w:rsidRDefault="00CB37EA" w:rsidP="003D59FF">
            <w:pPr>
              <w:pStyle w:val="BodyText2"/>
              <w:rPr>
                <w:sz w:val="22"/>
                <w:lang w:val="en-GB"/>
              </w:rPr>
            </w:pPr>
            <w:r w:rsidRPr="008B6375">
              <w:rPr>
                <w:sz w:val="22"/>
                <w:lang w:val="en-GB"/>
              </w:rPr>
              <w:t xml:space="preserve">Explain briefly why a carrier (heterozygote) for haemophilia </w:t>
            </w:r>
            <w:r w:rsidR="00571448">
              <w:rPr>
                <w:sz w:val="22"/>
                <w:lang w:val="en-GB"/>
              </w:rPr>
              <w:t xml:space="preserve">A </w:t>
            </w:r>
            <w:r w:rsidRPr="008B6375">
              <w:rPr>
                <w:sz w:val="22"/>
                <w:lang w:val="en-GB"/>
              </w:rPr>
              <w:t>may have a normal Factor VIII level. What is the probability of a male child being affected?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</w:tcPr>
          <w:p w:rsidR="00CB37EA" w:rsidRPr="005144DC" w:rsidRDefault="00CB37EA" w:rsidP="003D59FF">
            <w:r w:rsidRPr="005144DC">
              <w:t>3 Marks</w:t>
            </w:r>
          </w:p>
        </w:tc>
      </w:tr>
      <w:tr w:rsidR="00CB37EA" w:rsidRPr="005144DC" w:rsidTr="003D59FF"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CB37EA" w:rsidRDefault="00CB37EA" w:rsidP="003D59FF">
            <w:pPr>
              <w:rPr>
                <w:sz w:val="22"/>
              </w:rPr>
            </w:pPr>
          </w:p>
          <w:p w:rsidR="00996894" w:rsidRDefault="00996894" w:rsidP="003D59FF">
            <w:pPr>
              <w:rPr>
                <w:sz w:val="22"/>
              </w:rPr>
            </w:pPr>
          </w:p>
          <w:p w:rsidR="00996894" w:rsidRDefault="00996894" w:rsidP="003D59FF">
            <w:pPr>
              <w:rPr>
                <w:sz w:val="22"/>
              </w:rPr>
            </w:pPr>
          </w:p>
          <w:p w:rsidR="00996894" w:rsidRDefault="00996894" w:rsidP="003D59FF">
            <w:pPr>
              <w:rPr>
                <w:sz w:val="22"/>
              </w:rPr>
            </w:pPr>
          </w:p>
          <w:p w:rsidR="00996894" w:rsidRDefault="00996894" w:rsidP="003D59FF">
            <w:pPr>
              <w:rPr>
                <w:sz w:val="22"/>
              </w:rPr>
            </w:pPr>
          </w:p>
          <w:p w:rsidR="00996894" w:rsidRDefault="00996894" w:rsidP="003D59FF">
            <w:pPr>
              <w:rPr>
                <w:sz w:val="22"/>
              </w:rPr>
            </w:pPr>
          </w:p>
          <w:p w:rsidR="00804E4D" w:rsidRDefault="00804E4D" w:rsidP="003D59FF">
            <w:pPr>
              <w:rPr>
                <w:sz w:val="22"/>
              </w:rPr>
            </w:pPr>
          </w:p>
          <w:p w:rsidR="00804E4D" w:rsidRDefault="00804E4D" w:rsidP="003D59FF">
            <w:pPr>
              <w:rPr>
                <w:sz w:val="22"/>
              </w:rPr>
            </w:pPr>
          </w:p>
          <w:p w:rsidR="00804E4D" w:rsidRDefault="00804E4D" w:rsidP="003D59FF">
            <w:pPr>
              <w:rPr>
                <w:sz w:val="22"/>
              </w:rPr>
            </w:pPr>
          </w:p>
          <w:p w:rsidR="00996894" w:rsidRDefault="00996894" w:rsidP="003D59FF">
            <w:pPr>
              <w:rPr>
                <w:sz w:val="22"/>
              </w:rPr>
            </w:pPr>
          </w:p>
          <w:p w:rsidR="00996894" w:rsidRDefault="00996894" w:rsidP="003D59FF">
            <w:pPr>
              <w:rPr>
                <w:sz w:val="22"/>
              </w:rPr>
            </w:pPr>
          </w:p>
          <w:p w:rsidR="00996894" w:rsidRDefault="00996894" w:rsidP="003D59FF">
            <w:pPr>
              <w:rPr>
                <w:sz w:val="22"/>
              </w:rPr>
            </w:pPr>
          </w:p>
          <w:p w:rsidR="00996894" w:rsidRDefault="00996894" w:rsidP="003D59FF">
            <w:pPr>
              <w:rPr>
                <w:sz w:val="22"/>
              </w:rPr>
            </w:pPr>
          </w:p>
          <w:p w:rsidR="00996894" w:rsidRDefault="00996894" w:rsidP="003D59FF">
            <w:pPr>
              <w:rPr>
                <w:sz w:val="22"/>
              </w:rPr>
            </w:pPr>
          </w:p>
          <w:p w:rsidR="00996894" w:rsidRPr="005144DC" w:rsidRDefault="00996894" w:rsidP="003D59FF">
            <w:pPr>
              <w:rPr>
                <w:sz w:val="22"/>
              </w:rPr>
            </w:pPr>
          </w:p>
        </w:tc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CB37EA" w:rsidRPr="005144DC" w:rsidRDefault="00CB37EA" w:rsidP="003D59FF"/>
        </w:tc>
      </w:tr>
      <w:tr w:rsidR="00CB37EA" w:rsidRPr="005144DC" w:rsidTr="003D59FF"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CB37EA" w:rsidRPr="005144DC" w:rsidRDefault="00CB37EA" w:rsidP="003D59FF"/>
          <w:p w:rsidR="00CB37EA" w:rsidRPr="005144DC" w:rsidRDefault="00CB37EA" w:rsidP="003D59FF"/>
        </w:tc>
        <w:tc>
          <w:tcPr>
            <w:tcW w:w="1283" w:type="dxa"/>
            <w:tcBorders>
              <w:bottom w:val="single" w:sz="4" w:space="0" w:color="auto"/>
            </w:tcBorders>
          </w:tcPr>
          <w:p w:rsidR="00CB37EA" w:rsidRPr="005144DC" w:rsidRDefault="00CB37EA" w:rsidP="003D59FF">
            <w:r w:rsidRPr="005144DC">
              <w:t>Mark</w:t>
            </w:r>
          </w:p>
          <w:p w:rsidR="00CB37EA" w:rsidRPr="005144DC" w:rsidRDefault="00CB37EA" w:rsidP="003D59FF"/>
        </w:tc>
      </w:tr>
      <w:tr w:rsidR="00CB37EA" w:rsidRPr="005144DC" w:rsidTr="003D59FF"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CB37EA" w:rsidRPr="008B6375" w:rsidRDefault="00CB37EA" w:rsidP="003D59FF">
            <w:pPr>
              <w:pStyle w:val="BodyText"/>
              <w:rPr>
                <w:bCs/>
              </w:rPr>
            </w:pPr>
            <w:r w:rsidRPr="008B6375">
              <w:t>Explain why low molecular weight heparins have proved a popular replacement for unfractionated heparin</w:t>
            </w:r>
            <w:r w:rsidRPr="008B6375" w:rsidDel="005144DC">
              <w:rPr>
                <w:bCs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bottom w:val="nil"/>
            </w:tcBorders>
          </w:tcPr>
          <w:p w:rsidR="00CB37EA" w:rsidRPr="005144DC" w:rsidRDefault="00CB37EA" w:rsidP="003D59FF">
            <w:r w:rsidRPr="005144DC">
              <w:t>3 Marks</w:t>
            </w:r>
          </w:p>
        </w:tc>
      </w:tr>
      <w:tr w:rsidR="00CB37EA" w:rsidRPr="005144DC" w:rsidTr="003D59FF"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CB37EA" w:rsidRDefault="00CB37EA" w:rsidP="003D59FF">
            <w:pPr>
              <w:rPr>
                <w:b/>
                <w:bCs/>
              </w:rPr>
            </w:pPr>
          </w:p>
          <w:p w:rsidR="00CB37EA" w:rsidRDefault="00CB37EA" w:rsidP="003D59FF"/>
          <w:p w:rsidR="00996894" w:rsidRDefault="00996894" w:rsidP="003D59FF"/>
          <w:p w:rsidR="00996894" w:rsidRDefault="00996894" w:rsidP="003D59FF"/>
          <w:p w:rsidR="00996894" w:rsidRDefault="00996894" w:rsidP="003D59FF"/>
          <w:p w:rsidR="00996894" w:rsidRDefault="00996894" w:rsidP="003D59FF"/>
          <w:p w:rsidR="00996894" w:rsidRDefault="00996894" w:rsidP="003D59FF"/>
          <w:p w:rsidR="00996894" w:rsidRPr="005144DC" w:rsidRDefault="00996894" w:rsidP="003D59FF"/>
          <w:p w:rsidR="00CB37EA" w:rsidRPr="005144DC" w:rsidRDefault="009B070A" w:rsidP="003D59F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CB37EA" w:rsidRPr="005144DC" w:rsidRDefault="00CB37EA" w:rsidP="003D59FF">
            <w:pPr>
              <w:rPr>
                <w:b/>
                <w:bCs/>
              </w:rPr>
            </w:pPr>
          </w:p>
        </w:tc>
        <w:tc>
          <w:tcPr>
            <w:tcW w:w="1283" w:type="dxa"/>
            <w:tcBorders>
              <w:top w:val="nil"/>
              <w:bottom w:val="single" w:sz="4" w:space="0" w:color="auto"/>
            </w:tcBorders>
          </w:tcPr>
          <w:p w:rsidR="00CB37EA" w:rsidRPr="005144DC" w:rsidRDefault="00CB37EA" w:rsidP="003D59FF">
            <w:pPr>
              <w:rPr>
                <w:b/>
                <w:bCs/>
              </w:rPr>
            </w:pPr>
          </w:p>
        </w:tc>
      </w:tr>
      <w:tr w:rsidR="00CB37EA" w:rsidRPr="005144DC" w:rsidTr="003D59FF"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CB37EA" w:rsidRPr="005144DC" w:rsidRDefault="00CB37EA" w:rsidP="003D59FF">
            <w:pPr>
              <w:rPr>
                <w:b/>
                <w:bCs/>
              </w:rPr>
            </w:pPr>
          </w:p>
          <w:p w:rsidR="00CB37EA" w:rsidRPr="005144DC" w:rsidRDefault="00CB37EA" w:rsidP="003D59FF">
            <w:pPr>
              <w:rPr>
                <w:b/>
                <w:bCs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CB37EA" w:rsidRPr="005144DC" w:rsidRDefault="00CB37EA" w:rsidP="003D59FF">
            <w:pPr>
              <w:rPr>
                <w:bCs/>
              </w:rPr>
            </w:pPr>
            <w:r w:rsidRPr="005144DC">
              <w:rPr>
                <w:bCs/>
              </w:rPr>
              <w:t>Mark</w:t>
            </w:r>
          </w:p>
        </w:tc>
      </w:tr>
      <w:tr w:rsidR="00CB37EA" w:rsidRPr="005144DC" w:rsidTr="003D59FF"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CB37EA" w:rsidRPr="005144DC" w:rsidRDefault="00CB37EA" w:rsidP="003D59FF"/>
        </w:tc>
        <w:tc>
          <w:tcPr>
            <w:tcW w:w="1283" w:type="dxa"/>
            <w:tcBorders>
              <w:bottom w:val="single" w:sz="4" w:space="0" w:color="auto"/>
            </w:tcBorders>
          </w:tcPr>
          <w:p w:rsidR="00CB37EA" w:rsidRPr="005144DC" w:rsidRDefault="00CB37EA" w:rsidP="003D59FF">
            <w:pPr>
              <w:pStyle w:val="Heading2"/>
            </w:pPr>
            <w:r w:rsidRPr="005144DC">
              <w:t>TOTAL</w:t>
            </w:r>
          </w:p>
          <w:p w:rsidR="00CB37EA" w:rsidRPr="005144DC" w:rsidRDefault="00CB37EA" w:rsidP="003D59FF">
            <w:pPr>
              <w:rPr>
                <w:b/>
              </w:rPr>
            </w:pPr>
          </w:p>
          <w:p w:rsidR="00CB37EA" w:rsidRPr="005144DC" w:rsidRDefault="00CB37EA" w:rsidP="003D59FF"/>
        </w:tc>
      </w:tr>
    </w:tbl>
    <w:p w:rsidR="00CB37EA" w:rsidRPr="005144DC" w:rsidRDefault="00CB37EA" w:rsidP="00CB37EA">
      <w:pPr>
        <w:tabs>
          <w:tab w:val="left" w:pos="8748"/>
          <w:tab w:val="left" w:pos="9854"/>
        </w:tabs>
        <w:rPr>
          <w:b/>
          <w:bCs/>
          <w:sz w:val="4"/>
        </w:rPr>
      </w:pPr>
      <w:r w:rsidRPr="005144DC">
        <w:rPr>
          <w:b/>
          <w:bCs/>
          <w:sz w:val="4"/>
        </w:rPr>
        <w:tab/>
      </w:r>
    </w:p>
    <w:sectPr w:rsidR="00CB37EA" w:rsidRPr="005144DC" w:rsidSect="005F4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EA"/>
    <w:rsid w:val="00014F4A"/>
    <w:rsid w:val="00106C68"/>
    <w:rsid w:val="001F3D44"/>
    <w:rsid w:val="0034339B"/>
    <w:rsid w:val="004D2376"/>
    <w:rsid w:val="00571448"/>
    <w:rsid w:val="00596CE3"/>
    <w:rsid w:val="005F489C"/>
    <w:rsid w:val="007B31D0"/>
    <w:rsid w:val="00804E4D"/>
    <w:rsid w:val="008B6B16"/>
    <w:rsid w:val="008E4C8B"/>
    <w:rsid w:val="008F48FC"/>
    <w:rsid w:val="00931292"/>
    <w:rsid w:val="00996894"/>
    <w:rsid w:val="009B070A"/>
    <w:rsid w:val="009C27C6"/>
    <w:rsid w:val="00A67B66"/>
    <w:rsid w:val="00C36825"/>
    <w:rsid w:val="00CB37EA"/>
    <w:rsid w:val="00CE3850"/>
    <w:rsid w:val="00DE4EB5"/>
    <w:rsid w:val="00E540CB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B37EA"/>
    <w:pPr>
      <w:keepNext/>
      <w:tabs>
        <w:tab w:val="left" w:pos="3192"/>
        <w:tab w:val="left" w:pos="4248"/>
        <w:tab w:val="left" w:pos="7128"/>
        <w:tab w:val="left" w:pos="10188"/>
        <w:tab w:val="left" w:pos="12960"/>
        <w:tab w:val="left" w:pos="13248"/>
      </w:tabs>
      <w:ind w:right="1296"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CB37EA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7EA"/>
    <w:rPr>
      <w:rFonts w:ascii="Arial" w:eastAsia="Times New Roman" w:hAnsi="Arial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CB37EA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CB37EA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CB37EA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CB37EA"/>
    <w:rPr>
      <w:rFonts w:cs="Arial"/>
      <w:sz w:val="24"/>
      <w:lang w:val="de-DE"/>
    </w:rPr>
  </w:style>
  <w:style w:type="character" w:customStyle="1" w:styleId="BodyText2Char">
    <w:name w:val="Body Text 2 Char"/>
    <w:basedOn w:val="DefaultParagraphFont"/>
    <w:link w:val="BodyText2"/>
    <w:rsid w:val="00CB37EA"/>
    <w:rPr>
      <w:rFonts w:ascii="Arial" w:eastAsia="Times New Roman" w:hAnsi="Arial" w:cs="Arial"/>
      <w:sz w:val="24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E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B37EA"/>
    <w:pPr>
      <w:keepNext/>
      <w:tabs>
        <w:tab w:val="left" w:pos="3192"/>
        <w:tab w:val="left" w:pos="4248"/>
        <w:tab w:val="left" w:pos="7128"/>
        <w:tab w:val="left" w:pos="10188"/>
        <w:tab w:val="left" w:pos="12960"/>
        <w:tab w:val="left" w:pos="13248"/>
      </w:tabs>
      <w:ind w:right="1296"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CB37EA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7EA"/>
    <w:rPr>
      <w:rFonts w:ascii="Arial" w:eastAsia="Times New Roman" w:hAnsi="Arial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CB37EA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CB37EA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CB37EA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CB37EA"/>
    <w:rPr>
      <w:rFonts w:cs="Arial"/>
      <w:sz w:val="24"/>
      <w:lang w:val="de-DE"/>
    </w:rPr>
  </w:style>
  <w:style w:type="character" w:customStyle="1" w:styleId="BodyText2Char">
    <w:name w:val="Body Text 2 Char"/>
    <w:basedOn w:val="DefaultParagraphFont"/>
    <w:link w:val="BodyText2"/>
    <w:rsid w:val="00CB37EA"/>
    <w:rPr>
      <w:rFonts w:ascii="Arial" w:eastAsia="Times New Roman" w:hAnsi="Arial" w:cs="Arial"/>
      <w:sz w:val="24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laffan</dc:creator>
  <cp:lastModifiedBy>Shiel, Nuala</cp:lastModifiedBy>
  <cp:revision>2</cp:revision>
  <dcterms:created xsi:type="dcterms:W3CDTF">2013-01-14T11:28:00Z</dcterms:created>
  <dcterms:modified xsi:type="dcterms:W3CDTF">2013-01-14T11:28:00Z</dcterms:modified>
</cp:coreProperties>
</file>