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1283"/>
      </w:tblGrid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>
            <w:pPr>
              <w:pStyle w:val="Heading1"/>
            </w:pPr>
            <w:bookmarkStart w:id="0" w:name="_GoBack"/>
            <w:bookmarkEnd w:id="0"/>
            <w:r w:rsidRPr="005144DC">
              <w:t>SAQ 2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B37EA" w:rsidRPr="005144DC" w:rsidRDefault="00CB37EA" w:rsidP="003D59FF">
            <w:pPr>
              <w:rPr>
                <w:b/>
                <w:bCs/>
              </w:rPr>
            </w:pPr>
            <w:r w:rsidRPr="005144DC">
              <w:rPr>
                <w:b/>
                <w:bCs/>
              </w:rPr>
              <w:t>Examiner Use Only</w:t>
            </w:r>
          </w:p>
        </w:tc>
      </w:tr>
      <w:tr w:rsidR="00CB37EA" w:rsidRPr="005144DC" w:rsidTr="003D59FF">
        <w:trPr>
          <w:cantSplit/>
        </w:trPr>
        <w:tc>
          <w:tcPr>
            <w:tcW w:w="8748" w:type="dxa"/>
            <w:vMerge w:val="restart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>
            <w:pPr>
              <w:jc w:val="both"/>
              <w:rPr>
                <w:sz w:val="22"/>
              </w:rPr>
            </w:pPr>
            <w:r w:rsidRPr="005144DC">
              <w:rPr>
                <w:sz w:val="22"/>
              </w:rPr>
              <w:t>Explain why haemophilia is an attractive target for gene therapy</w:t>
            </w:r>
            <w:r>
              <w:rPr>
                <w:sz w:val="22"/>
              </w:rPr>
              <w:t>.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B37EA" w:rsidRPr="005144DC" w:rsidRDefault="00CB37EA" w:rsidP="003D59FF">
            <w:pPr>
              <w:jc w:val="both"/>
            </w:pPr>
            <w:r>
              <w:t xml:space="preserve">4 </w:t>
            </w:r>
            <w:r w:rsidRPr="005144DC">
              <w:t>Marks</w:t>
            </w:r>
          </w:p>
        </w:tc>
      </w:tr>
      <w:tr w:rsidR="00CB37EA" w:rsidRPr="005144DC" w:rsidTr="003D59FF">
        <w:trPr>
          <w:cantSplit/>
        </w:trPr>
        <w:tc>
          <w:tcPr>
            <w:tcW w:w="8748" w:type="dxa"/>
            <w:vMerge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B37EA" w:rsidRPr="005144DC" w:rsidRDefault="00CB37EA" w:rsidP="003D59FF"/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/>
          <w:p w:rsidR="009C27C6" w:rsidRDefault="00CB37EA" w:rsidP="009C27C6">
            <w:r>
              <w:t xml:space="preserve">Haemophilia A and B </w:t>
            </w:r>
            <w:r w:rsidR="009C27C6">
              <w:t xml:space="preserve">are both single gene disorders. </w:t>
            </w:r>
          </w:p>
          <w:p w:rsidR="009C27C6" w:rsidRDefault="009C27C6" w:rsidP="009C27C6">
            <w:r>
              <w:t>Genes for the missing factors (V</w:t>
            </w:r>
            <w:r w:rsidR="00CB37EA">
              <w:t xml:space="preserve">III and Factor IX) have been cloned and are therefore available for use in gene therapy. </w:t>
            </w:r>
          </w:p>
          <w:p w:rsidR="00571448" w:rsidRDefault="00CB37EA" w:rsidP="009C27C6">
            <w:r>
              <w:t xml:space="preserve">Because the disease is caused by a </w:t>
            </w:r>
            <w:r w:rsidR="009C27C6">
              <w:t>simple deficiency of the factor</w:t>
            </w:r>
            <w:r>
              <w:t xml:space="preserve"> </w:t>
            </w:r>
            <w:r w:rsidR="00931292">
              <w:t xml:space="preserve">in plasma there is no need for tissue specific expression </w:t>
            </w:r>
            <w:r w:rsidR="008E4C8B">
              <w:t xml:space="preserve">as long as it is secreted </w:t>
            </w:r>
            <w:r w:rsidR="00E540CB">
              <w:t xml:space="preserve">into blood </w:t>
            </w:r>
            <w:r w:rsidR="00931292">
              <w:t>and no need for precise regulation</w:t>
            </w:r>
            <w:r w:rsidR="00E540CB">
              <w:t xml:space="preserve"> of production</w:t>
            </w:r>
            <w:r w:rsidR="00931292">
              <w:t xml:space="preserve">. </w:t>
            </w:r>
          </w:p>
          <w:p w:rsidR="00CB37EA" w:rsidRPr="005144DC" w:rsidRDefault="00931292" w:rsidP="009C27C6">
            <w:r>
              <w:t xml:space="preserve">Even a small amount of FVIII or FIX is very effective in correcting the phenotype and so even low levels of expression would be </w:t>
            </w:r>
            <w:r w:rsidR="009C27C6">
              <w:t xml:space="preserve">of significant benefit.  </w:t>
            </w:r>
          </w:p>
          <w:p w:rsidR="00CB37EA" w:rsidRPr="005144DC" w:rsidRDefault="00CB37EA" w:rsidP="003D59FF"/>
          <w:p w:rsidR="00CB37EA" w:rsidRPr="005144DC" w:rsidRDefault="00571448" w:rsidP="003D59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CB37EA" w:rsidRPr="005144DC" w:rsidRDefault="00CB37EA" w:rsidP="003D59FF"/>
          <w:p w:rsidR="00CB37EA" w:rsidRPr="005144DC" w:rsidRDefault="00CB37EA" w:rsidP="003D59FF"/>
        </w:tc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CB37EA" w:rsidRPr="005144DC" w:rsidRDefault="00CB37EA" w:rsidP="003D59FF"/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/>
          <w:p w:rsidR="00CB37EA" w:rsidRPr="005144DC" w:rsidRDefault="00CB37EA" w:rsidP="003D59FF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CB37EA" w:rsidRPr="005144DC" w:rsidRDefault="00CB37EA" w:rsidP="003D59FF">
            <w:r w:rsidRPr="005144DC">
              <w:t>Mark</w:t>
            </w: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8B6375" w:rsidRDefault="00CB37EA" w:rsidP="003D59FF">
            <w:pPr>
              <w:pStyle w:val="BodyText2"/>
              <w:rPr>
                <w:sz w:val="22"/>
                <w:lang w:val="en-GB"/>
              </w:rPr>
            </w:pPr>
            <w:r w:rsidRPr="008B6375">
              <w:rPr>
                <w:sz w:val="22"/>
                <w:lang w:val="en-GB"/>
              </w:rPr>
              <w:t xml:space="preserve">Explain briefly why a carrier (heterozygote) for haemophilia </w:t>
            </w:r>
            <w:r w:rsidR="00571448">
              <w:rPr>
                <w:sz w:val="22"/>
                <w:lang w:val="en-GB"/>
              </w:rPr>
              <w:t xml:space="preserve">A </w:t>
            </w:r>
            <w:r w:rsidRPr="008B6375">
              <w:rPr>
                <w:sz w:val="22"/>
                <w:lang w:val="en-GB"/>
              </w:rPr>
              <w:t>may have a normal Factor VIII level. What is the probability of a male child being affected?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CB37EA" w:rsidRPr="005144DC" w:rsidRDefault="00CB37EA" w:rsidP="003D59FF">
            <w:r w:rsidRPr="005144DC">
              <w:t>3 Marks</w:t>
            </w: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/>
          <w:p w:rsidR="00CB37EA" w:rsidRPr="005144DC" w:rsidRDefault="00CE3850" w:rsidP="003D59FF">
            <w:r>
              <w:t>Carrie</w:t>
            </w:r>
            <w:r w:rsidR="00596CE3">
              <w:t>r</w:t>
            </w:r>
            <w:r>
              <w:t>s or heterozygotes for haemophilia are always women because th</w:t>
            </w:r>
            <w:r w:rsidR="00571448">
              <w:t>e gene for Factor VIII is on the X chromosome</w:t>
            </w:r>
            <w:r w:rsidR="00596CE3">
              <w:t xml:space="preserve"> and females have 2 X chromosomes and men only one. </w:t>
            </w:r>
          </w:p>
          <w:p w:rsidR="00CB37EA" w:rsidRDefault="00596CE3" w:rsidP="003D59FF">
            <w:r>
              <w:t xml:space="preserve">In a carrier, one X carries an inactive Factor VIII gene but the other X produces normal amounts of Factor VIII. </w:t>
            </w:r>
          </w:p>
          <w:p w:rsidR="00596CE3" w:rsidRDefault="00596CE3" w:rsidP="003D59FF">
            <w:r>
              <w:t xml:space="preserve">However as a result of X chromosome inactivation (XCI) only one X is active in each female cell. </w:t>
            </w:r>
            <w:r w:rsidR="00C36825">
              <w:t xml:space="preserve">The inactivation process is random and may be skewed in favour of one X or the other. If a greater number of cells have inactivated the X with the non-expressing FVIII gene then the carrier’s Factor VIII level will be in the normal range. </w:t>
            </w:r>
          </w:p>
          <w:p w:rsidR="004D2376" w:rsidRDefault="004D2376" w:rsidP="003D59FF"/>
          <w:p w:rsidR="009B070A" w:rsidRPr="005144DC" w:rsidRDefault="009B070A" w:rsidP="003D59FF">
            <w:r>
              <w:t>A carrier may give either of her 2 X chromosomes to a male child with equal probability. Therefore if the child is male, then the probability that he is affected is 0.5.</w:t>
            </w:r>
          </w:p>
          <w:p w:rsidR="00CB37EA" w:rsidRPr="005144DC" w:rsidRDefault="00C36825" w:rsidP="003D59FF">
            <w:r>
              <w:t xml:space="preserve"> </w:t>
            </w:r>
          </w:p>
          <w:p w:rsidR="00CB37EA" w:rsidRPr="005144DC" w:rsidRDefault="00CB37EA" w:rsidP="003D59FF"/>
          <w:p w:rsidR="00CB37EA" w:rsidRPr="005144DC" w:rsidRDefault="00106C68" w:rsidP="003D59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CB37EA" w:rsidRPr="005144DC" w:rsidRDefault="00CB37EA" w:rsidP="003D59FF">
            <w:pPr>
              <w:rPr>
                <w:sz w:val="22"/>
              </w:rPr>
            </w:pP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CB37EA" w:rsidRPr="005144DC" w:rsidRDefault="00CB37EA" w:rsidP="003D59FF"/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/>
          <w:p w:rsidR="00CB37EA" w:rsidRPr="005144DC" w:rsidRDefault="00CB37EA" w:rsidP="003D59FF"/>
        </w:tc>
        <w:tc>
          <w:tcPr>
            <w:tcW w:w="1283" w:type="dxa"/>
            <w:tcBorders>
              <w:bottom w:val="single" w:sz="4" w:space="0" w:color="auto"/>
            </w:tcBorders>
          </w:tcPr>
          <w:p w:rsidR="00CB37EA" w:rsidRPr="005144DC" w:rsidRDefault="00CB37EA" w:rsidP="003D59FF">
            <w:r w:rsidRPr="005144DC">
              <w:t>Mark</w:t>
            </w:r>
          </w:p>
          <w:p w:rsidR="00CB37EA" w:rsidRPr="005144DC" w:rsidRDefault="00CB37EA" w:rsidP="003D59FF"/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8B6375" w:rsidRDefault="00CB37EA" w:rsidP="003D59FF">
            <w:pPr>
              <w:pStyle w:val="BodyText"/>
              <w:rPr>
                <w:bCs/>
              </w:rPr>
            </w:pPr>
            <w:r w:rsidRPr="008B6375">
              <w:t>Explain why low molecular weight heparins have proved a popular replacement for unfractionated heparin</w:t>
            </w:r>
            <w:r w:rsidRPr="008B6375" w:rsidDel="005144DC">
              <w:rPr>
                <w:bCs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CB37EA" w:rsidRPr="005144DC" w:rsidRDefault="00CB37EA" w:rsidP="003D59FF">
            <w:r w:rsidRPr="005144DC">
              <w:t>3 Marks</w:t>
            </w: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Default="00CB37EA" w:rsidP="003D59FF">
            <w:pPr>
              <w:rPr>
                <w:b/>
                <w:bCs/>
              </w:rPr>
            </w:pPr>
          </w:p>
          <w:p w:rsidR="00106C68" w:rsidRDefault="00106C68" w:rsidP="003D59FF">
            <w:pPr>
              <w:rPr>
                <w:bCs/>
              </w:rPr>
            </w:pPr>
            <w:r>
              <w:rPr>
                <w:bCs/>
              </w:rPr>
              <w:t xml:space="preserve">In most circumstances LMWH have a much more reliable dose response relationship than that for UFH. As a consequence they do not usually require monitoring. </w:t>
            </w:r>
          </w:p>
          <w:p w:rsidR="008B6B16" w:rsidRPr="00106C68" w:rsidRDefault="008B6B16" w:rsidP="003D59FF">
            <w:pPr>
              <w:rPr>
                <w:bCs/>
              </w:rPr>
            </w:pPr>
            <w:r>
              <w:rPr>
                <w:bCs/>
              </w:rPr>
              <w:t xml:space="preserve">They can be given as a once daily sub cutaneous injection. </w:t>
            </w:r>
          </w:p>
          <w:p w:rsidR="00CB37EA" w:rsidRPr="005144DC" w:rsidRDefault="008B6B16" w:rsidP="003D59FF">
            <w:r>
              <w:t>The LMWH are associated with a lower risk of heparin induced thrombocytopenia.  (HIT)</w:t>
            </w:r>
          </w:p>
          <w:p w:rsidR="00CB37EA" w:rsidRPr="005144DC" w:rsidRDefault="00CB37EA" w:rsidP="003D59FF"/>
          <w:p w:rsidR="00CB37EA" w:rsidRPr="005144DC" w:rsidRDefault="009B070A" w:rsidP="003D59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CB37EA" w:rsidRPr="005144DC" w:rsidRDefault="00CB37EA" w:rsidP="003D59FF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CB37EA" w:rsidRPr="005144DC" w:rsidRDefault="00CB37EA" w:rsidP="003D59FF">
            <w:pPr>
              <w:rPr>
                <w:b/>
                <w:bCs/>
              </w:rPr>
            </w:pP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>
            <w:pPr>
              <w:rPr>
                <w:b/>
                <w:bCs/>
              </w:rPr>
            </w:pPr>
          </w:p>
          <w:p w:rsidR="00CB37EA" w:rsidRPr="005144DC" w:rsidRDefault="00CB37EA" w:rsidP="003D59FF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CB37EA" w:rsidRPr="005144DC" w:rsidRDefault="00CB37EA" w:rsidP="003D59FF">
            <w:pPr>
              <w:rPr>
                <w:bCs/>
              </w:rPr>
            </w:pPr>
            <w:r w:rsidRPr="005144DC">
              <w:rPr>
                <w:bCs/>
              </w:rPr>
              <w:t>Mark</w:t>
            </w: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/>
        </w:tc>
        <w:tc>
          <w:tcPr>
            <w:tcW w:w="1283" w:type="dxa"/>
            <w:tcBorders>
              <w:bottom w:val="single" w:sz="4" w:space="0" w:color="auto"/>
            </w:tcBorders>
          </w:tcPr>
          <w:p w:rsidR="00CB37EA" w:rsidRPr="005144DC" w:rsidRDefault="00CB37EA" w:rsidP="003D59FF">
            <w:pPr>
              <w:pStyle w:val="Heading2"/>
            </w:pPr>
            <w:r w:rsidRPr="005144DC">
              <w:t>TOTAL</w:t>
            </w:r>
          </w:p>
          <w:p w:rsidR="00CB37EA" w:rsidRPr="005144DC" w:rsidRDefault="00CB37EA" w:rsidP="003D59FF">
            <w:pPr>
              <w:rPr>
                <w:b/>
              </w:rPr>
            </w:pPr>
          </w:p>
          <w:p w:rsidR="00CB37EA" w:rsidRPr="005144DC" w:rsidRDefault="00CB37EA" w:rsidP="003D59FF"/>
        </w:tc>
      </w:tr>
    </w:tbl>
    <w:p w:rsidR="00CB37EA" w:rsidRPr="005144DC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  <w:r w:rsidRPr="005144DC">
        <w:rPr>
          <w:b/>
          <w:bCs/>
          <w:sz w:val="4"/>
        </w:rPr>
        <w:tab/>
      </w:r>
    </w:p>
    <w:p w:rsidR="007B31D0" w:rsidRDefault="00CB37EA" w:rsidP="00CB37EA">
      <w:r w:rsidRPr="005144DC">
        <w:rPr>
          <w:b/>
          <w:bCs/>
          <w:sz w:val="4"/>
        </w:rPr>
        <w:br w:type="page"/>
      </w:r>
    </w:p>
    <w:sectPr w:rsidR="007B3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EA"/>
    <w:rsid w:val="00106C68"/>
    <w:rsid w:val="004D2376"/>
    <w:rsid w:val="00571448"/>
    <w:rsid w:val="00596CE3"/>
    <w:rsid w:val="007B31D0"/>
    <w:rsid w:val="008B35FF"/>
    <w:rsid w:val="008B6B16"/>
    <w:rsid w:val="008E4C8B"/>
    <w:rsid w:val="00931292"/>
    <w:rsid w:val="009B070A"/>
    <w:rsid w:val="009C27C6"/>
    <w:rsid w:val="00C36825"/>
    <w:rsid w:val="00CB37EA"/>
    <w:rsid w:val="00CE3850"/>
    <w:rsid w:val="00DE4EB5"/>
    <w:rsid w:val="00E5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B37EA"/>
    <w:pPr>
      <w:keepNext/>
      <w:tabs>
        <w:tab w:val="left" w:pos="3192"/>
        <w:tab w:val="left" w:pos="4248"/>
        <w:tab w:val="left" w:pos="7128"/>
        <w:tab w:val="left" w:pos="10188"/>
        <w:tab w:val="left" w:pos="12960"/>
        <w:tab w:val="left" w:pos="13248"/>
      </w:tabs>
      <w:ind w:right="1296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B37EA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7EA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CB37EA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CB37EA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B37E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CB37EA"/>
    <w:rPr>
      <w:rFonts w:cs="Arial"/>
      <w:sz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CB37EA"/>
    <w:rPr>
      <w:rFonts w:ascii="Arial" w:eastAsia="Times New Roman" w:hAnsi="Arial" w:cs="Arial"/>
      <w:sz w:val="24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B37EA"/>
    <w:pPr>
      <w:keepNext/>
      <w:tabs>
        <w:tab w:val="left" w:pos="3192"/>
        <w:tab w:val="left" w:pos="4248"/>
        <w:tab w:val="left" w:pos="7128"/>
        <w:tab w:val="left" w:pos="10188"/>
        <w:tab w:val="left" w:pos="12960"/>
        <w:tab w:val="left" w:pos="13248"/>
      </w:tabs>
      <w:ind w:right="1296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B37EA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7EA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CB37EA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CB37EA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B37E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CB37EA"/>
    <w:rPr>
      <w:rFonts w:cs="Arial"/>
      <w:sz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CB37EA"/>
    <w:rPr>
      <w:rFonts w:ascii="Arial" w:eastAsia="Times New Roman" w:hAnsi="Arial" w:cs="Arial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laffan</dc:creator>
  <cp:lastModifiedBy>Shiel, Nuala</cp:lastModifiedBy>
  <cp:revision>2</cp:revision>
  <dcterms:created xsi:type="dcterms:W3CDTF">2013-01-14T11:31:00Z</dcterms:created>
  <dcterms:modified xsi:type="dcterms:W3CDTF">2013-01-14T11:31:00Z</dcterms:modified>
</cp:coreProperties>
</file>