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1D" w:rsidRPr="009D7320" w:rsidRDefault="00863C1D" w:rsidP="008B74F1">
      <w:pPr>
        <w:pStyle w:val="Heading1"/>
      </w:pPr>
      <w:bookmarkStart w:id="0" w:name="OLE_LINK3"/>
      <w:bookmarkStart w:id="1" w:name="OLE_LINK4"/>
      <w:r w:rsidRPr="009D7320">
        <w:rPr>
          <w:noProof/>
          <w:lang w:val="en-GB" w:eastAsia="en-GB"/>
        </w:rPr>
        <w:drawing>
          <wp:anchor distT="0" distB="0" distL="114300" distR="114300" simplePos="0" relativeHeight="251660800" behindDoc="0" locked="0" layoutInCell="1" allowOverlap="1" wp14:anchorId="1068FDC1" wp14:editId="26DB95C7">
            <wp:simplePos x="0" y="0"/>
            <wp:positionH relativeFrom="column">
              <wp:posOffset>1285875</wp:posOffset>
            </wp:positionH>
            <wp:positionV relativeFrom="paragraph">
              <wp:posOffset>-28575</wp:posOffset>
            </wp:positionV>
            <wp:extent cx="1117600" cy="1057275"/>
            <wp:effectExtent l="19050" t="0" r="6350" b="0"/>
            <wp:wrapSquare wrapText="bothSides"/>
            <wp:docPr id="3" name="Picture 3" descr="global health studies logo-3.jpg"/>
            <wp:cNvGraphicFramePr/>
            <a:graphic xmlns:a="http://schemas.openxmlformats.org/drawingml/2006/main">
              <a:graphicData uri="http://schemas.openxmlformats.org/drawingml/2006/picture">
                <pic:pic xmlns:pic="http://schemas.openxmlformats.org/drawingml/2006/picture">
                  <pic:nvPicPr>
                    <pic:cNvPr id="8" name="Picture 9" descr="global health studies logo-3.jpg"/>
                    <pic:cNvPicPr>
                      <a:picLocks noChangeAspect="1"/>
                    </pic:cNvPicPr>
                  </pic:nvPicPr>
                  <pic:blipFill>
                    <a:blip r:embed="rId9" cstate="print"/>
                    <a:srcRect/>
                    <a:stretch>
                      <a:fillRect/>
                    </a:stretch>
                  </pic:blipFill>
                  <pic:spPr bwMode="auto">
                    <a:xfrm>
                      <a:off x="0" y="0"/>
                      <a:ext cx="1117600" cy="1057275"/>
                    </a:xfrm>
                    <a:prstGeom prst="rect">
                      <a:avLst/>
                    </a:prstGeom>
                    <a:solidFill>
                      <a:schemeClr val="accent1"/>
                    </a:solidFill>
                    <a:ln w="9525">
                      <a:noFill/>
                      <a:miter lim="800000"/>
                      <a:headEnd/>
                      <a:tailEnd/>
                    </a:ln>
                  </pic:spPr>
                </pic:pic>
              </a:graphicData>
            </a:graphic>
          </wp:anchor>
        </w:drawing>
      </w:r>
      <w:r w:rsidRPr="009D7320">
        <w:rPr>
          <w:noProof/>
          <w:lang w:val="en-GB" w:eastAsia="en-GB"/>
        </w:rPr>
        <w:drawing>
          <wp:anchor distT="0" distB="0" distL="114300" distR="114300" simplePos="0" relativeHeight="251657728" behindDoc="0" locked="0" layoutInCell="1" allowOverlap="1" wp14:anchorId="510DC3C4" wp14:editId="181C1331">
            <wp:simplePos x="0" y="0"/>
            <wp:positionH relativeFrom="column">
              <wp:posOffset>-228600</wp:posOffset>
            </wp:positionH>
            <wp:positionV relativeFrom="paragraph">
              <wp:posOffset>361950</wp:posOffset>
            </wp:positionV>
            <wp:extent cx="1714500" cy="457200"/>
            <wp:effectExtent l="19050" t="0" r="0" b="0"/>
            <wp:wrapSquare wrapText="bothSides"/>
            <wp:docPr id="4" name="Picture 2" descr="global health studies logo-2.jpg"/>
            <wp:cNvGraphicFramePr/>
            <a:graphic xmlns:a="http://schemas.openxmlformats.org/drawingml/2006/main">
              <a:graphicData uri="http://schemas.openxmlformats.org/drawingml/2006/picture">
                <pic:pic xmlns:pic="http://schemas.openxmlformats.org/drawingml/2006/picture">
                  <pic:nvPicPr>
                    <pic:cNvPr id="7" name="Picture 8" descr="global health studies logo-2.jpg"/>
                    <pic:cNvPicPr>
                      <a:picLocks noChangeAspect="1"/>
                    </pic:cNvPicPr>
                  </pic:nvPicPr>
                  <pic:blipFill>
                    <a:blip r:embed="rId10" cstate="print"/>
                    <a:srcRect/>
                    <a:stretch>
                      <a:fillRect/>
                    </a:stretch>
                  </pic:blipFill>
                  <pic:spPr bwMode="auto">
                    <a:xfrm>
                      <a:off x="0" y="0"/>
                      <a:ext cx="1714500" cy="457200"/>
                    </a:xfrm>
                    <a:prstGeom prst="rect">
                      <a:avLst/>
                    </a:prstGeom>
                    <a:noFill/>
                    <a:ln w="9525">
                      <a:noFill/>
                      <a:miter lim="800000"/>
                      <a:headEnd/>
                      <a:tailEnd/>
                    </a:ln>
                  </pic:spPr>
                </pic:pic>
              </a:graphicData>
            </a:graphic>
          </wp:anchor>
        </w:drawing>
      </w:r>
      <w:r w:rsidRPr="009D7320">
        <w:rPr>
          <w:noProof/>
          <w:lang w:val="en-GB" w:eastAsia="en-GB"/>
        </w:rPr>
        <w:drawing>
          <wp:anchor distT="0" distB="0" distL="114300" distR="114300" simplePos="0" relativeHeight="251654656" behindDoc="0" locked="0" layoutInCell="1" allowOverlap="1" wp14:anchorId="0819023D" wp14:editId="4277A3EB">
            <wp:simplePos x="0" y="0"/>
            <wp:positionH relativeFrom="column">
              <wp:posOffset>-133350</wp:posOffset>
            </wp:positionH>
            <wp:positionV relativeFrom="paragraph">
              <wp:posOffset>19050</wp:posOffset>
            </wp:positionV>
            <wp:extent cx="1295400" cy="342900"/>
            <wp:effectExtent l="19050" t="0" r="0" b="0"/>
            <wp:wrapSquare wrapText="bothSides"/>
            <wp:docPr id="1" name="Picture 1" descr="global health studies logo-1.jpg"/>
            <wp:cNvGraphicFramePr/>
            <a:graphic xmlns:a="http://schemas.openxmlformats.org/drawingml/2006/main">
              <a:graphicData uri="http://schemas.openxmlformats.org/drawingml/2006/picture">
                <pic:pic xmlns:pic="http://schemas.openxmlformats.org/drawingml/2006/picture">
                  <pic:nvPicPr>
                    <pic:cNvPr id="6" name="Picture 7" descr="global health studies logo-1.jpg"/>
                    <pic:cNvPicPr>
                      <a:picLocks noChangeAspect="1"/>
                    </pic:cNvPicPr>
                  </pic:nvPicPr>
                  <pic:blipFill>
                    <a:blip r:embed="rId11" cstate="print"/>
                    <a:srcRect/>
                    <a:stretch>
                      <a:fillRect/>
                    </a:stretch>
                  </pic:blipFill>
                  <pic:spPr bwMode="auto">
                    <a:xfrm>
                      <a:off x="0" y="0"/>
                      <a:ext cx="1295400" cy="342900"/>
                    </a:xfrm>
                    <a:prstGeom prst="rect">
                      <a:avLst/>
                    </a:prstGeom>
                    <a:noFill/>
                    <a:ln w="9525">
                      <a:noFill/>
                      <a:miter lim="800000"/>
                      <a:headEnd/>
                      <a:tailEnd/>
                    </a:ln>
                  </pic:spPr>
                </pic:pic>
              </a:graphicData>
            </a:graphic>
          </wp:anchor>
        </w:drawing>
      </w:r>
    </w:p>
    <w:p w:rsidR="00863C1D" w:rsidRPr="009D7320" w:rsidRDefault="00863C1D" w:rsidP="008B74F1">
      <w:pPr>
        <w:pStyle w:val="Heading1"/>
      </w:pPr>
    </w:p>
    <w:p w:rsidR="008B74F1" w:rsidRPr="009D7320" w:rsidRDefault="00F60BD4" w:rsidP="00863C1D">
      <w:pPr>
        <w:pStyle w:val="Heading1"/>
        <w:spacing w:before="0"/>
        <w:jc w:val="center"/>
        <w:rPr>
          <w:sz w:val="32"/>
        </w:rPr>
      </w:pPr>
      <w:bookmarkStart w:id="2" w:name="_GoBack"/>
      <w:bookmarkEnd w:id="2"/>
      <w:r w:rsidRPr="009D7320">
        <w:rPr>
          <w:sz w:val="32"/>
        </w:rPr>
        <w:t xml:space="preserve">BSc in </w:t>
      </w:r>
      <w:r w:rsidR="007A18EE" w:rsidRPr="009D7320">
        <w:rPr>
          <w:sz w:val="32"/>
        </w:rPr>
        <w:t>Medical Sc</w:t>
      </w:r>
      <w:r w:rsidR="008B74F1" w:rsidRPr="009D7320">
        <w:rPr>
          <w:sz w:val="32"/>
        </w:rPr>
        <w:t>i</w:t>
      </w:r>
      <w:r w:rsidR="007A18EE" w:rsidRPr="009D7320">
        <w:rPr>
          <w:sz w:val="32"/>
        </w:rPr>
        <w:t>e</w:t>
      </w:r>
      <w:r w:rsidR="008B74F1" w:rsidRPr="009D7320">
        <w:rPr>
          <w:sz w:val="32"/>
        </w:rPr>
        <w:t xml:space="preserve">nces with </w:t>
      </w:r>
      <w:r w:rsidRPr="009D7320">
        <w:rPr>
          <w:sz w:val="32"/>
        </w:rPr>
        <w:t>Global Health</w:t>
      </w:r>
      <w:r w:rsidR="00017F20" w:rsidRPr="009D7320">
        <w:rPr>
          <w:sz w:val="32"/>
        </w:rPr>
        <w:t>, 2012-2013</w:t>
      </w:r>
    </w:p>
    <w:p w:rsidR="008B74F1" w:rsidRPr="009D7320" w:rsidRDefault="008B74F1" w:rsidP="00863C1D">
      <w:pPr>
        <w:jc w:val="center"/>
        <w:rPr>
          <w:rFonts w:asciiTheme="majorHAnsi" w:hAnsiTheme="majorHAnsi" w:cs="Arial"/>
          <w:b/>
          <w:bCs/>
          <w:szCs w:val="22"/>
        </w:rPr>
      </w:pPr>
    </w:p>
    <w:p w:rsidR="00380A53" w:rsidRPr="009D7320" w:rsidRDefault="008B74F1" w:rsidP="00863C1D">
      <w:pPr>
        <w:pStyle w:val="Heading1"/>
        <w:spacing w:before="0"/>
        <w:jc w:val="center"/>
        <w:rPr>
          <w:sz w:val="32"/>
        </w:rPr>
      </w:pPr>
      <w:r w:rsidRPr="009D7320">
        <w:rPr>
          <w:sz w:val="32"/>
        </w:rPr>
        <w:t>Introductory Module (Part A)</w:t>
      </w:r>
    </w:p>
    <w:p w:rsidR="005B3DE9" w:rsidRPr="009D7320" w:rsidRDefault="005B3DE9" w:rsidP="00512664">
      <w:pPr>
        <w:rPr>
          <w:rFonts w:asciiTheme="majorHAnsi" w:hAnsiTheme="majorHAnsi" w:cs="Arial"/>
          <w:b/>
          <w:sz w:val="22"/>
          <w:szCs w:val="22"/>
        </w:rPr>
      </w:pPr>
    </w:p>
    <w:p w:rsidR="00D31C0C" w:rsidRPr="009D7320" w:rsidRDefault="005B3DE9" w:rsidP="00512664">
      <w:pPr>
        <w:rPr>
          <w:rFonts w:ascii="Arial" w:hAnsi="Arial" w:cs="Arial"/>
          <w:sz w:val="22"/>
          <w:szCs w:val="22"/>
        </w:rPr>
      </w:pPr>
      <w:r w:rsidRPr="009D7320">
        <w:rPr>
          <w:rStyle w:val="Heading2Char"/>
          <w:rFonts w:ascii="Arial" w:hAnsi="Arial" w:cs="Arial"/>
        </w:rPr>
        <w:t>Module director</w:t>
      </w:r>
      <w:r w:rsidRPr="009D7320">
        <w:rPr>
          <w:rFonts w:ascii="Arial" w:hAnsi="Arial" w:cs="Arial"/>
          <w:sz w:val="22"/>
          <w:szCs w:val="22"/>
        </w:rPr>
        <w:t>: Helen Ward</w:t>
      </w:r>
      <w:bookmarkEnd w:id="0"/>
      <w:bookmarkEnd w:id="1"/>
      <w:r w:rsidR="00863C1D" w:rsidRPr="009D7320">
        <w:rPr>
          <w:rFonts w:ascii="Arial" w:hAnsi="Arial" w:cs="Arial"/>
          <w:sz w:val="22"/>
          <w:szCs w:val="22"/>
        </w:rPr>
        <w:t xml:space="preserve"> (</w:t>
      </w:r>
      <w:hyperlink r:id="rId12" w:history="1">
        <w:r w:rsidR="00863C1D" w:rsidRPr="009D7320">
          <w:rPr>
            <w:rStyle w:val="Hyperlink"/>
            <w:rFonts w:ascii="Arial" w:hAnsi="Arial" w:cs="Arial"/>
            <w:sz w:val="22"/>
            <w:szCs w:val="22"/>
            <w:u w:val="none"/>
          </w:rPr>
          <w:t>h.ward@imperial.ac.uk</w:t>
        </w:r>
      </w:hyperlink>
      <w:r w:rsidR="00863C1D" w:rsidRPr="009D7320">
        <w:rPr>
          <w:rFonts w:ascii="Arial" w:hAnsi="Arial" w:cs="Arial"/>
          <w:sz w:val="22"/>
          <w:szCs w:val="22"/>
        </w:rPr>
        <w:t xml:space="preserve"> )</w:t>
      </w:r>
      <w:r w:rsidRPr="009D7320">
        <w:rPr>
          <w:rFonts w:ascii="Arial" w:hAnsi="Arial" w:cs="Arial"/>
          <w:sz w:val="22"/>
          <w:szCs w:val="22"/>
        </w:rPr>
        <w:t xml:space="preserve"> </w:t>
      </w:r>
    </w:p>
    <w:p w:rsidR="00D31C0C" w:rsidRPr="009D7320" w:rsidRDefault="00D31C0C" w:rsidP="00512664">
      <w:pPr>
        <w:rPr>
          <w:rFonts w:ascii="Arial" w:hAnsi="Arial" w:cs="Arial"/>
          <w:sz w:val="22"/>
          <w:szCs w:val="22"/>
        </w:rPr>
      </w:pPr>
    </w:p>
    <w:p w:rsidR="00863C1D" w:rsidRPr="009D7320" w:rsidRDefault="00863C1D" w:rsidP="00512664">
      <w:pPr>
        <w:rPr>
          <w:rFonts w:ascii="Arial" w:hAnsi="Arial" w:cs="Arial"/>
          <w:sz w:val="22"/>
          <w:szCs w:val="22"/>
        </w:rPr>
      </w:pPr>
      <w:r w:rsidRPr="009D7320">
        <w:rPr>
          <w:rStyle w:val="Heading2Char"/>
          <w:rFonts w:ascii="Arial" w:hAnsi="Arial" w:cs="Arial"/>
        </w:rPr>
        <w:t>Administrator</w:t>
      </w:r>
      <w:r w:rsidRPr="009D7320">
        <w:rPr>
          <w:rFonts w:ascii="Arial" w:hAnsi="Arial" w:cs="Arial"/>
          <w:sz w:val="22"/>
          <w:szCs w:val="22"/>
        </w:rPr>
        <w:t xml:space="preserve">: </w:t>
      </w:r>
      <w:r w:rsidR="00DE0E3E" w:rsidRPr="009D7320">
        <w:rPr>
          <w:rFonts w:ascii="Arial" w:hAnsi="Arial" w:cs="Arial"/>
          <w:sz w:val="22"/>
          <w:szCs w:val="22"/>
        </w:rPr>
        <w:t xml:space="preserve">Helen King </w:t>
      </w:r>
      <w:hyperlink r:id="rId13" w:history="1">
        <w:r w:rsidR="004072B7" w:rsidRPr="009D7320">
          <w:rPr>
            <w:rStyle w:val="Hyperlink"/>
            <w:rFonts w:ascii="Arial" w:hAnsi="Arial" w:cs="Arial"/>
            <w:sz w:val="22"/>
            <w:szCs w:val="22"/>
            <w:u w:val="none"/>
          </w:rPr>
          <w:t>Helen.king@imperial.ac.uk</w:t>
        </w:r>
      </w:hyperlink>
      <w:r w:rsidR="00DE0E3E" w:rsidRPr="009D7320">
        <w:rPr>
          <w:rFonts w:ascii="Arial" w:hAnsi="Arial" w:cs="Arial"/>
          <w:sz w:val="22"/>
          <w:szCs w:val="22"/>
        </w:rPr>
        <w:t xml:space="preserve"> </w:t>
      </w:r>
    </w:p>
    <w:p w:rsidR="00DE0E3E" w:rsidRPr="009D7320" w:rsidRDefault="00DE0E3E" w:rsidP="00512664">
      <w:pPr>
        <w:rPr>
          <w:rFonts w:ascii="Arial" w:hAnsi="Arial" w:cs="Arial"/>
          <w:sz w:val="22"/>
          <w:szCs w:val="22"/>
        </w:rPr>
      </w:pPr>
    </w:p>
    <w:p w:rsidR="00DE0E3E" w:rsidRPr="009D7320" w:rsidRDefault="00DE0E3E" w:rsidP="00512664">
      <w:pPr>
        <w:rPr>
          <w:rFonts w:ascii="Arial" w:hAnsi="Arial" w:cs="Arial"/>
          <w:sz w:val="22"/>
          <w:szCs w:val="22"/>
        </w:rPr>
      </w:pPr>
      <w:r w:rsidRPr="009D7320">
        <w:rPr>
          <w:rStyle w:val="Heading2Char"/>
          <w:rFonts w:ascii="Arial" w:hAnsi="Arial" w:cs="Arial"/>
        </w:rPr>
        <w:t>Teaching Fellow:</w:t>
      </w:r>
      <w:r w:rsidRPr="009D7320">
        <w:rPr>
          <w:rFonts w:ascii="Arial" w:hAnsi="Arial" w:cs="Arial"/>
          <w:sz w:val="22"/>
          <w:szCs w:val="22"/>
        </w:rPr>
        <w:t xml:space="preserve"> Mariam Sbaiti </w:t>
      </w:r>
      <w:hyperlink r:id="rId14" w:history="1">
        <w:r w:rsidRPr="009D7320">
          <w:rPr>
            <w:rStyle w:val="Hyperlink"/>
            <w:rFonts w:ascii="Arial" w:hAnsi="Arial" w:cs="Arial"/>
            <w:sz w:val="22"/>
            <w:szCs w:val="22"/>
            <w:u w:val="none"/>
          </w:rPr>
          <w:t>m.sbaiti@imperial.ac.uk</w:t>
        </w:r>
      </w:hyperlink>
      <w:r w:rsidRPr="009D7320">
        <w:rPr>
          <w:rFonts w:ascii="Arial" w:hAnsi="Arial" w:cs="Arial"/>
          <w:sz w:val="22"/>
          <w:szCs w:val="22"/>
        </w:rPr>
        <w:t xml:space="preserve"> </w:t>
      </w:r>
    </w:p>
    <w:p w:rsidR="00D31C0C" w:rsidRPr="009D7320" w:rsidRDefault="00D31C0C" w:rsidP="00512664">
      <w:pPr>
        <w:rPr>
          <w:rFonts w:asciiTheme="majorHAnsi" w:hAnsiTheme="majorHAnsi" w:cs="Arial"/>
          <w:sz w:val="22"/>
          <w:szCs w:val="22"/>
        </w:rPr>
      </w:pPr>
    </w:p>
    <w:p w:rsidR="005B3DE9" w:rsidRPr="009D7320" w:rsidRDefault="005B3DE9" w:rsidP="00863C1D">
      <w:r w:rsidRPr="009D7320">
        <w:rPr>
          <w:rStyle w:val="Heading2Char"/>
        </w:rPr>
        <w:t>Content</w:t>
      </w:r>
      <w:r w:rsidR="0095070B" w:rsidRPr="009D7320">
        <w:rPr>
          <w:rStyle w:val="Heading2Char"/>
        </w:rPr>
        <w:t>s</w:t>
      </w:r>
      <w:r w:rsidR="00863C1D" w:rsidRPr="009D7320">
        <w:rPr>
          <w:rStyle w:val="Heading2Char"/>
        </w:rPr>
        <w:t>:</w:t>
      </w:r>
      <w:r w:rsidR="00863C1D" w:rsidRPr="009D7320">
        <w:t xml:space="preserve"> </w:t>
      </w:r>
      <w:r w:rsidRPr="009D7320">
        <w:t xml:space="preserve">This module will provide a broad overview including the scope of global health, the range of disciplines contributing to global health scholarship, </w:t>
      </w:r>
      <w:r w:rsidR="00933392" w:rsidRPr="009D7320">
        <w:t xml:space="preserve">and </w:t>
      </w:r>
      <w:r w:rsidRPr="009D7320">
        <w:t>an introduction to</w:t>
      </w:r>
      <w:r w:rsidR="00017F20" w:rsidRPr="009D7320">
        <w:t xml:space="preserve"> globalization and health</w:t>
      </w:r>
      <w:r w:rsidR="00933392" w:rsidRPr="009D7320">
        <w:t>. We will also begin the research methods theme which will continue through each of</w:t>
      </w:r>
      <w:r w:rsidR="00017F20" w:rsidRPr="009D7320">
        <w:t xml:space="preserve"> the modules. There will be group presentations on the Millennium Development Goals</w:t>
      </w:r>
      <w:r w:rsidR="00933392" w:rsidRPr="009D7320">
        <w:t>.</w:t>
      </w:r>
      <w:r w:rsidR="00017F20" w:rsidRPr="009D7320">
        <w:t xml:space="preserve"> </w:t>
      </w:r>
      <w:r w:rsidR="007A3297" w:rsidRPr="009D7320">
        <w:t>The module also contains the</w:t>
      </w:r>
      <w:r w:rsidR="00017F20" w:rsidRPr="009D7320">
        <w:t xml:space="preserve"> introductory session </w:t>
      </w:r>
      <w:r w:rsidR="007A3297" w:rsidRPr="009D7320">
        <w:t>of</w:t>
      </w:r>
      <w:r w:rsidR="00017F20" w:rsidRPr="009D7320">
        <w:t xml:space="preserve"> the Humanities in Global Health stream.</w:t>
      </w:r>
    </w:p>
    <w:p w:rsidR="005B3DE9" w:rsidRPr="009D7320" w:rsidRDefault="005B3DE9" w:rsidP="00E415C6">
      <w:pPr>
        <w:rPr>
          <w:rFonts w:asciiTheme="majorHAnsi" w:hAnsiTheme="majorHAnsi" w:cs="Arial"/>
          <w:b/>
          <w:sz w:val="22"/>
          <w:szCs w:val="22"/>
        </w:rPr>
      </w:pPr>
    </w:p>
    <w:p w:rsidR="005B3DE9" w:rsidRPr="009D7320" w:rsidRDefault="005B3DE9" w:rsidP="004B34C3">
      <w:pPr>
        <w:rPr>
          <w:rFonts w:asciiTheme="majorHAnsi" w:hAnsiTheme="majorHAnsi"/>
          <w:sz w:val="22"/>
          <w:szCs w:val="22"/>
        </w:rPr>
      </w:pPr>
      <w:r w:rsidRPr="009D7320">
        <w:rPr>
          <w:rStyle w:val="Heading2Char"/>
        </w:rPr>
        <w:t>Lecturers:</w:t>
      </w:r>
      <w:r w:rsidRPr="009D7320">
        <w:rPr>
          <w:rFonts w:asciiTheme="majorHAnsi" w:hAnsiTheme="majorHAnsi" w:cs="Arial"/>
          <w:sz w:val="22"/>
          <w:szCs w:val="22"/>
        </w:rPr>
        <w:t xml:space="preserve"> </w:t>
      </w:r>
      <w:r w:rsidR="00512664" w:rsidRPr="009D7320">
        <w:rPr>
          <w:rFonts w:asciiTheme="majorHAnsi" w:hAnsiTheme="majorHAnsi"/>
          <w:sz w:val="22"/>
          <w:szCs w:val="22"/>
        </w:rPr>
        <w:t xml:space="preserve">Helen Ward (HW), </w:t>
      </w:r>
      <w:r w:rsidR="007A3297" w:rsidRPr="009D7320">
        <w:rPr>
          <w:rFonts w:asciiTheme="majorHAnsi" w:hAnsiTheme="majorHAnsi"/>
          <w:sz w:val="22"/>
          <w:szCs w:val="22"/>
        </w:rPr>
        <w:t>Mariam Sbaiti (MS), Teresa Norat (TN)</w:t>
      </w:r>
      <w:r w:rsidR="00BE2BCD" w:rsidRPr="009D7320">
        <w:rPr>
          <w:rFonts w:asciiTheme="majorHAnsi" w:hAnsiTheme="majorHAnsi"/>
          <w:sz w:val="22"/>
          <w:szCs w:val="22"/>
        </w:rPr>
        <w:t>, Doris Chan (DC) and</w:t>
      </w:r>
      <w:r w:rsidR="007A3297" w:rsidRPr="009D7320">
        <w:rPr>
          <w:rFonts w:asciiTheme="majorHAnsi" w:hAnsiTheme="majorHAnsi"/>
          <w:sz w:val="22"/>
          <w:szCs w:val="22"/>
        </w:rPr>
        <w:t xml:space="preserve"> </w:t>
      </w:r>
      <w:r w:rsidR="00512664" w:rsidRPr="009D7320">
        <w:rPr>
          <w:rFonts w:asciiTheme="majorHAnsi" w:hAnsiTheme="majorHAnsi"/>
          <w:sz w:val="22"/>
          <w:szCs w:val="22"/>
        </w:rPr>
        <w:t xml:space="preserve">Jackie </w:t>
      </w:r>
      <w:r w:rsidR="00BE2BCD" w:rsidRPr="009D7320">
        <w:rPr>
          <w:rFonts w:asciiTheme="majorHAnsi" w:hAnsiTheme="majorHAnsi" w:cs="Tahoma"/>
          <w:sz w:val="22"/>
          <w:szCs w:val="22"/>
        </w:rPr>
        <w:t>Cousins (JC).</w:t>
      </w:r>
      <w:r w:rsidR="00512664" w:rsidRPr="009D7320">
        <w:rPr>
          <w:rFonts w:asciiTheme="majorHAnsi" w:hAnsiTheme="majorHAnsi" w:cs="Tahoma"/>
          <w:sz w:val="22"/>
          <w:szCs w:val="22"/>
        </w:rPr>
        <w:t xml:space="preserve"> </w:t>
      </w:r>
    </w:p>
    <w:p w:rsidR="00512664" w:rsidRPr="009D7320" w:rsidRDefault="007A3297" w:rsidP="008B74F1">
      <w:pPr>
        <w:pStyle w:val="Heading2"/>
      </w:pPr>
      <w:r w:rsidRPr="009D7320">
        <w:t xml:space="preserve">Intended </w:t>
      </w:r>
      <w:r w:rsidR="008B74F1" w:rsidRPr="009D7320">
        <w:t xml:space="preserve">Learning </w:t>
      </w:r>
      <w:r w:rsidR="00190295" w:rsidRPr="009D7320">
        <w:t>O</w:t>
      </w:r>
      <w:r w:rsidR="008B74F1" w:rsidRPr="009D7320">
        <w:t>utcomes</w:t>
      </w:r>
    </w:p>
    <w:p w:rsidR="00BE2BCD" w:rsidRPr="009D7320" w:rsidRDefault="00BE2BCD" w:rsidP="00BE2BCD"/>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At the e</w:t>
      </w:r>
      <w:r w:rsidR="00E82CA7" w:rsidRPr="009D7320">
        <w:rPr>
          <w:rFonts w:asciiTheme="majorHAnsi" w:hAnsiTheme="majorHAnsi"/>
          <w:sz w:val="22"/>
          <w:szCs w:val="22"/>
        </w:rPr>
        <w:t>nd of this module</w:t>
      </w:r>
      <w:r w:rsidR="00BE2BCD" w:rsidRPr="009D7320">
        <w:rPr>
          <w:rFonts w:asciiTheme="majorHAnsi" w:hAnsiTheme="majorHAnsi"/>
          <w:sz w:val="22"/>
          <w:szCs w:val="22"/>
        </w:rPr>
        <w:t>,</w:t>
      </w:r>
      <w:r w:rsidR="00E82CA7" w:rsidRPr="009D7320">
        <w:rPr>
          <w:rFonts w:asciiTheme="majorHAnsi" w:hAnsiTheme="majorHAnsi"/>
          <w:sz w:val="22"/>
          <w:szCs w:val="22"/>
        </w:rPr>
        <w:t xml:space="preserve"> students will be able to:</w:t>
      </w:r>
    </w:p>
    <w:p w:rsidR="00794981" w:rsidRPr="009D7320" w:rsidRDefault="00794981" w:rsidP="00863C1D">
      <w:pPr>
        <w:numPr>
          <w:ilvl w:val="0"/>
          <w:numId w:val="10"/>
        </w:numPr>
        <w:contextualSpacing/>
        <w:rPr>
          <w:rFonts w:asciiTheme="majorHAnsi" w:hAnsiTheme="majorHAnsi"/>
          <w:sz w:val="22"/>
          <w:szCs w:val="22"/>
        </w:rPr>
      </w:pPr>
      <w:r w:rsidRPr="009D7320">
        <w:rPr>
          <w:rFonts w:asciiTheme="majorHAnsi" w:hAnsiTheme="majorHAnsi"/>
          <w:sz w:val="22"/>
          <w:szCs w:val="22"/>
        </w:rPr>
        <w:t xml:space="preserve">Be aware of your roles and responsibilities on the course and of the learning support available </w:t>
      </w:r>
      <w:r w:rsidR="00CE7689" w:rsidRPr="009D7320">
        <w:rPr>
          <w:rFonts w:asciiTheme="majorHAnsi" w:hAnsiTheme="majorHAnsi"/>
          <w:sz w:val="22"/>
          <w:szCs w:val="22"/>
        </w:rPr>
        <w:t xml:space="preserve">during your studies </w:t>
      </w:r>
    </w:p>
    <w:p w:rsidR="00863C1D" w:rsidRPr="009D7320" w:rsidRDefault="00E82CA7" w:rsidP="00863C1D">
      <w:pPr>
        <w:numPr>
          <w:ilvl w:val="0"/>
          <w:numId w:val="10"/>
        </w:numPr>
        <w:contextualSpacing/>
        <w:rPr>
          <w:rFonts w:asciiTheme="majorHAnsi" w:hAnsiTheme="majorHAnsi"/>
          <w:sz w:val="22"/>
          <w:szCs w:val="22"/>
        </w:rPr>
      </w:pPr>
      <w:r w:rsidRPr="009D7320">
        <w:rPr>
          <w:rFonts w:asciiTheme="majorHAnsi" w:hAnsiTheme="majorHAnsi"/>
          <w:sz w:val="22"/>
          <w:szCs w:val="22"/>
        </w:rPr>
        <w:t xml:space="preserve">Outline the differences between </w:t>
      </w:r>
      <w:r w:rsidR="00190295" w:rsidRPr="009D7320">
        <w:rPr>
          <w:rFonts w:asciiTheme="majorHAnsi" w:hAnsiTheme="majorHAnsi"/>
          <w:sz w:val="22"/>
          <w:szCs w:val="22"/>
        </w:rPr>
        <w:t>the main</w:t>
      </w:r>
      <w:r w:rsidRPr="009D7320">
        <w:rPr>
          <w:rFonts w:asciiTheme="majorHAnsi" w:hAnsiTheme="majorHAnsi"/>
          <w:sz w:val="22"/>
          <w:szCs w:val="22"/>
        </w:rPr>
        <w:t xml:space="preserve"> </w:t>
      </w:r>
      <w:r w:rsidR="005B3DE9" w:rsidRPr="009D7320">
        <w:rPr>
          <w:rFonts w:asciiTheme="majorHAnsi" w:hAnsiTheme="majorHAnsi"/>
          <w:sz w:val="22"/>
          <w:szCs w:val="22"/>
        </w:rPr>
        <w:t>definition</w:t>
      </w:r>
      <w:r w:rsidRPr="009D7320">
        <w:rPr>
          <w:rFonts w:asciiTheme="majorHAnsi" w:hAnsiTheme="majorHAnsi"/>
          <w:sz w:val="22"/>
          <w:szCs w:val="22"/>
        </w:rPr>
        <w:t>s</w:t>
      </w:r>
      <w:r w:rsidR="005B3DE9" w:rsidRPr="009D7320">
        <w:rPr>
          <w:rFonts w:asciiTheme="majorHAnsi" w:hAnsiTheme="majorHAnsi"/>
          <w:sz w:val="22"/>
          <w:szCs w:val="22"/>
        </w:rPr>
        <w:t xml:space="preserve"> of global health </w:t>
      </w:r>
      <w:r w:rsidRPr="009D7320">
        <w:rPr>
          <w:rFonts w:asciiTheme="majorHAnsi" w:hAnsiTheme="majorHAnsi"/>
          <w:sz w:val="22"/>
          <w:szCs w:val="22"/>
        </w:rPr>
        <w:t>and identify a working definition of the field</w:t>
      </w:r>
    </w:p>
    <w:p w:rsidR="005B3DE9" w:rsidRPr="009D7320" w:rsidRDefault="005B3DE9" w:rsidP="00863C1D">
      <w:pPr>
        <w:numPr>
          <w:ilvl w:val="0"/>
          <w:numId w:val="10"/>
        </w:numPr>
        <w:contextualSpacing/>
        <w:rPr>
          <w:rFonts w:asciiTheme="majorHAnsi" w:hAnsiTheme="majorHAnsi"/>
          <w:sz w:val="20"/>
          <w:szCs w:val="22"/>
        </w:rPr>
      </w:pPr>
      <w:r w:rsidRPr="009D7320">
        <w:rPr>
          <w:rFonts w:asciiTheme="majorHAnsi" w:hAnsiTheme="majorHAnsi"/>
          <w:sz w:val="22"/>
        </w:rPr>
        <w:t>list the major disciplines used in global health research and practice</w:t>
      </w:r>
    </w:p>
    <w:p w:rsidR="005B3DE9" w:rsidRPr="009D7320" w:rsidRDefault="005B3DE9" w:rsidP="00762E5C">
      <w:pPr>
        <w:numPr>
          <w:ilvl w:val="0"/>
          <w:numId w:val="10"/>
        </w:numPr>
        <w:contextualSpacing/>
        <w:rPr>
          <w:rFonts w:asciiTheme="majorHAnsi" w:hAnsiTheme="majorHAnsi"/>
          <w:sz w:val="22"/>
          <w:szCs w:val="22"/>
        </w:rPr>
      </w:pPr>
      <w:r w:rsidRPr="009D7320">
        <w:rPr>
          <w:rFonts w:asciiTheme="majorHAnsi" w:hAnsiTheme="majorHAnsi"/>
          <w:sz w:val="22"/>
          <w:szCs w:val="22"/>
        </w:rPr>
        <w:t xml:space="preserve">describe the key measures of mortality and morbidity and how they can be used to compare the </w:t>
      </w:r>
      <w:r w:rsidR="00190295" w:rsidRPr="009D7320">
        <w:rPr>
          <w:rFonts w:asciiTheme="majorHAnsi" w:hAnsiTheme="majorHAnsi"/>
          <w:sz w:val="22"/>
          <w:szCs w:val="22"/>
        </w:rPr>
        <w:t>disease burden between regions</w:t>
      </w:r>
    </w:p>
    <w:p w:rsidR="00810184" w:rsidRPr="009D7320" w:rsidRDefault="00810184" w:rsidP="00762E5C">
      <w:pPr>
        <w:numPr>
          <w:ilvl w:val="0"/>
          <w:numId w:val="10"/>
        </w:numPr>
        <w:contextualSpacing/>
        <w:rPr>
          <w:rFonts w:asciiTheme="majorHAnsi" w:hAnsiTheme="majorHAnsi"/>
          <w:sz w:val="22"/>
          <w:szCs w:val="22"/>
        </w:rPr>
      </w:pPr>
      <w:r w:rsidRPr="009D7320">
        <w:rPr>
          <w:rFonts w:asciiTheme="majorHAnsi" w:hAnsiTheme="majorHAnsi"/>
          <w:sz w:val="22"/>
          <w:szCs w:val="22"/>
        </w:rPr>
        <w:t>outline the main epidemiological study designs and their uses in investigation</w:t>
      </w:r>
    </w:p>
    <w:p w:rsidR="00512664" w:rsidRPr="009D7320" w:rsidRDefault="00512664" w:rsidP="00762E5C">
      <w:pPr>
        <w:numPr>
          <w:ilvl w:val="0"/>
          <w:numId w:val="10"/>
        </w:numPr>
        <w:contextualSpacing/>
        <w:rPr>
          <w:rFonts w:asciiTheme="majorHAnsi" w:hAnsiTheme="majorHAnsi"/>
          <w:sz w:val="22"/>
          <w:szCs w:val="22"/>
        </w:rPr>
      </w:pPr>
      <w:r w:rsidRPr="009D7320">
        <w:rPr>
          <w:rFonts w:asciiTheme="majorHAnsi" w:hAnsiTheme="majorHAnsi"/>
          <w:sz w:val="22"/>
          <w:szCs w:val="22"/>
        </w:rPr>
        <w:t>describe the leading causes of death and disability at the global level</w:t>
      </w:r>
    </w:p>
    <w:p w:rsidR="006D2058" w:rsidRPr="009D7320" w:rsidRDefault="006D2058" w:rsidP="006D2058">
      <w:pPr>
        <w:numPr>
          <w:ilvl w:val="0"/>
          <w:numId w:val="10"/>
        </w:numPr>
        <w:contextualSpacing/>
        <w:rPr>
          <w:rFonts w:asciiTheme="majorHAnsi" w:hAnsiTheme="majorHAnsi"/>
          <w:sz w:val="22"/>
          <w:szCs w:val="22"/>
        </w:rPr>
      </w:pPr>
      <w:r w:rsidRPr="009D7320">
        <w:rPr>
          <w:rFonts w:asciiTheme="majorHAnsi" w:hAnsiTheme="majorHAnsi"/>
          <w:sz w:val="22"/>
          <w:szCs w:val="22"/>
        </w:rPr>
        <w:t>describe basic epidemiological study designs</w:t>
      </w:r>
    </w:p>
    <w:p w:rsidR="00E41426" w:rsidRPr="009D7320" w:rsidRDefault="00E41426" w:rsidP="00E41426">
      <w:pPr>
        <w:numPr>
          <w:ilvl w:val="0"/>
          <w:numId w:val="10"/>
        </w:numPr>
        <w:contextualSpacing/>
        <w:rPr>
          <w:rFonts w:asciiTheme="majorHAnsi" w:hAnsiTheme="majorHAnsi"/>
          <w:sz w:val="22"/>
          <w:szCs w:val="22"/>
        </w:rPr>
      </w:pPr>
      <w:r w:rsidRPr="009D7320">
        <w:rPr>
          <w:rFonts w:asciiTheme="majorHAnsi" w:hAnsiTheme="majorHAnsi"/>
          <w:sz w:val="22"/>
          <w:szCs w:val="22"/>
        </w:rPr>
        <w:t>interpret evidence including applying concepts of association and causality</w:t>
      </w:r>
    </w:p>
    <w:p w:rsidR="006D2058" w:rsidRPr="009D7320" w:rsidRDefault="006D2058" w:rsidP="006D2058">
      <w:pPr>
        <w:numPr>
          <w:ilvl w:val="0"/>
          <w:numId w:val="10"/>
        </w:numPr>
        <w:contextualSpacing/>
        <w:rPr>
          <w:rFonts w:asciiTheme="majorHAnsi" w:hAnsiTheme="majorHAnsi"/>
          <w:sz w:val="22"/>
          <w:szCs w:val="22"/>
        </w:rPr>
      </w:pPr>
      <w:r w:rsidRPr="009D7320">
        <w:rPr>
          <w:rFonts w:asciiTheme="majorHAnsi" w:hAnsiTheme="majorHAnsi"/>
          <w:sz w:val="22"/>
          <w:szCs w:val="22"/>
        </w:rPr>
        <w:t>critically appraise articles and reports on global health</w:t>
      </w:r>
    </w:p>
    <w:p w:rsidR="00E415C6" w:rsidRPr="009D7320" w:rsidRDefault="00810184" w:rsidP="00762E5C">
      <w:pPr>
        <w:numPr>
          <w:ilvl w:val="0"/>
          <w:numId w:val="10"/>
        </w:numPr>
        <w:contextualSpacing/>
        <w:rPr>
          <w:rFonts w:asciiTheme="majorHAnsi" w:hAnsiTheme="majorHAnsi"/>
          <w:sz w:val="22"/>
          <w:szCs w:val="22"/>
        </w:rPr>
      </w:pPr>
      <w:r w:rsidRPr="009D7320">
        <w:rPr>
          <w:rFonts w:asciiTheme="majorHAnsi" w:hAnsiTheme="majorHAnsi"/>
          <w:sz w:val="22"/>
          <w:szCs w:val="22"/>
        </w:rPr>
        <w:t xml:space="preserve">list </w:t>
      </w:r>
      <w:r w:rsidR="00E415C6" w:rsidRPr="009D7320">
        <w:rPr>
          <w:rFonts w:asciiTheme="majorHAnsi" w:hAnsiTheme="majorHAnsi"/>
          <w:sz w:val="22"/>
          <w:szCs w:val="22"/>
        </w:rPr>
        <w:t xml:space="preserve">the Millennium Development Goals and </w:t>
      </w:r>
      <w:r w:rsidRPr="009D7320">
        <w:rPr>
          <w:rFonts w:asciiTheme="majorHAnsi" w:hAnsiTheme="majorHAnsi"/>
          <w:sz w:val="22"/>
          <w:szCs w:val="22"/>
        </w:rPr>
        <w:t>outline</w:t>
      </w:r>
      <w:r w:rsidR="00E415C6" w:rsidRPr="009D7320">
        <w:rPr>
          <w:rFonts w:asciiTheme="majorHAnsi" w:hAnsiTheme="majorHAnsi"/>
          <w:sz w:val="22"/>
          <w:szCs w:val="22"/>
        </w:rPr>
        <w:t xml:space="preserve"> how they are measured and progress towards them</w:t>
      </w:r>
    </w:p>
    <w:p w:rsidR="00512664" w:rsidRPr="009D7320" w:rsidRDefault="00E82CA7" w:rsidP="00762E5C">
      <w:pPr>
        <w:numPr>
          <w:ilvl w:val="0"/>
          <w:numId w:val="10"/>
        </w:numPr>
        <w:contextualSpacing/>
        <w:rPr>
          <w:rFonts w:asciiTheme="majorHAnsi" w:hAnsiTheme="majorHAnsi"/>
          <w:sz w:val="22"/>
          <w:szCs w:val="22"/>
        </w:rPr>
      </w:pPr>
      <w:r w:rsidRPr="009D7320">
        <w:rPr>
          <w:rFonts w:asciiTheme="majorHAnsi" w:hAnsiTheme="majorHAnsi"/>
          <w:sz w:val="22"/>
          <w:szCs w:val="22"/>
        </w:rPr>
        <w:t xml:space="preserve">Discuss </w:t>
      </w:r>
      <w:r w:rsidR="00C333DF" w:rsidRPr="009D7320">
        <w:rPr>
          <w:rFonts w:asciiTheme="majorHAnsi" w:hAnsiTheme="majorHAnsi"/>
          <w:sz w:val="22"/>
          <w:szCs w:val="22"/>
        </w:rPr>
        <w:t xml:space="preserve">in more detail </w:t>
      </w:r>
      <w:r w:rsidRPr="009D7320">
        <w:rPr>
          <w:rFonts w:asciiTheme="majorHAnsi" w:hAnsiTheme="majorHAnsi"/>
          <w:sz w:val="22"/>
          <w:szCs w:val="22"/>
        </w:rPr>
        <w:t xml:space="preserve">the </w:t>
      </w:r>
      <w:r w:rsidR="00810184" w:rsidRPr="009D7320">
        <w:rPr>
          <w:rFonts w:asciiTheme="majorHAnsi" w:hAnsiTheme="majorHAnsi"/>
          <w:sz w:val="22"/>
          <w:szCs w:val="22"/>
        </w:rPr>
        <w:t xml:space="preserve">measures and </w:t>
      </w:r>
      <w:r w:rsidRPr="009D7320">
        <w:rPr>
          <w:rFonts w:asciiTheme="majorHAnsi" w:hAnsiTheme="majorHAnsi"/>
          <w:sz w:val="22"/>
          <w:szCs w:val="22"/>
        </w:rPr>
        <w:t xml:space="preserve">progress </w:t>
      </w:r>
      <w:r w:rsidR="00C333DF" w:rsidRPr="009D7320">
        <w:rPr>
          <w:rFonts w:asciiTheme="majorHAnsi" w:hAnsiTheme="majorHAnsi"/>
          <w:sz w:val="22"/>
          <w:szCs w:val="22"/>
        </w:rPr>
        <w:t>on</w:t>
      </w:r>
      <w:r w:rsidRPr="009D7320">
        <w:rPr>
          <w:rFonts w:asciiTheme="majorHAnsi" w:hAnsiTheme="majorHAnsi"/>
          <w:sz w:val="22"/>
          <w:szCs w:val="22"/>
        </w:rPr>
        <w:t xml:space="preserve"> one particular MDG</w:t>
      </w:r>
      <w:r w:rsidR="00E415C6" w:rsidRPr="009D7320">
        <w:rPr>
          <w:rFonts w:asciiTheme="majorHAnsi" w:hAnsiTheme="majorHAnsi"/>
          <w:sz w:val="22"/>
          <w:szCs w:val="22"/>
        </w:rPr>
        <w:t xml:space="preserve"> </w:t>
      </w:r>
    </w:p>
    <w:p w:rsidR="00512664" w:rsidRPr="009D7320" w:rsidRDefault="00512664" w:rsidP="00762E5C">
      <w:pPr>
        <w:numPr>
          <w:ilvl w:val="0"/>
          <w:numId w:val="10"/>
        </w:numPr>
        <w:contextualSpacing/>
        <w:rPr>
          <w:rFonts w:asciiTheme="majorHAnsi" w:hAnsiTheme="majorHAnsi"/>
          <w:sz w:val="22"/>
          <w:szCs w:val="22"/>
        </w:rPr>
      </w:pPr>
      <w:r w:rsidRPr="009D7320">
        <w:rPr>
          <w:rFonts w:asciiTheme="majorHAnsi" w:hAnsiTheme="majorHAnsi"/>
          <w:sz w:val="22"/>
          <w:szCs w:val="22"/>
        </w:rPr>
        <w:t>work effectively and collaborativ</w:t>
      </w:r>
      <w:r w:rsidR="00D9082E" w:rsidRPr="009D7320">
        <w:rPr>
          <w:rFonts w:asciiTheme="majorHAnsi" w:hAnsiTheme="majorHAnsi"/>
          <w:sz w:val="22"/>
          <w:szCs w:val="22"/>
        </w:rPr>
        <w:t>e</w:t>
      </w:r>
      <w:r w:rsidRPr="009D7320">
        <w:rPr>
          <w:rFonts w:asciiTheme="majorHAnsi" w:hAnsiTheme="majorHAnsi"/>
          <w:sz w:val="22"/>
          <w:szCs w:val="22"/>
        </w:rPr>
        <w:t>ly in small groups</w:t>
      </w:r>
    </w:p>
    <w:p w:rsidR="00ED4013" w:rsidRPr="009D7320" w:rsidRDefault="00ED4013" w:rsidP="00762E5C">
      <w:pPr>
        <w:numPr>
          <w:ilvl w:val="0"/>
          <w:numId w:val="10"/>
        </w:numPr>
        <w:contextualSpacing/>
        <w:rPr>
          <w:rFonts w:asciiTheme="majorHAnsi" w:hAnsiTheme="majorHAnsi"/>
          <w:sz w:val="22"/>
          <w:szCs w:val="22"/>
        </w:rPr>
      </w:pPr>
      <w:r w:rsidRPr="009D7320">
        <w:rPr>
          <w:rFonts w:asciiTheme="majorHAnsi" w:hAnsiTheme="majorHAnsi"/>
          <w:sz w:val="22"/>
          <w:szCs w:val="22"/>
        </w:rPr>
        <w:t>discuss the relevance of Humanities in Global Health</w:t>
      </w:r>
    </w:p>
    <w:p w:rsidR="00857D02" w:rsidRPr="009D7320" w:rsidRDefault="00857D02" w:rsidP="008B74F1">
      <w:pPr>
        <w:pStyle w:val="Heading2"/>
        <w:rPr>
          <w:rFonts w:eastAsia="Calibri"/>
          <w:lang w:val="en-GB" w:eastAsia="en-GB"/>
        </w:rPr>
      </w:pPr>
      <w:r w:rsidRPr="009D7320">
        <w:rPr>
          <w:rFonts w:eastAsia="Calibri"/>
          <w:lang w:val="en-GB" w:eastAsia="en-GB"/>
        </w:rPr>
        <w:t>Tutor Groups</w:t>
      </w:r>
    </w:p>
    <w:p w:rsidR="00857D02" w:rsidRPr="009D7320" w:rsidRDefault="00857D02" w:rsidP="00857D02">
      <w:pPr>
        <w:rPr>
          <w:lang w:val="en-GB" w:eastAsia="en-GB"/>
        </w:rPr>
      </w:pPr>
    </w:p>
    <w:p w:rsidR="00857D02" w:rsidRPr="009D7320" w:rsidRDefault="00857D02" w:rsidP="00857D02">
      <w:r w:rsidRPr="009D7320">
        <w:t xml:space="preserve">Students will each be assigned to a tutor group and should expect to meet in their tutor groups twice during the Introductory module. Tutors will contact their students directly </w:t>
      </w:r>
      <w:r w:rsidRPr="009D7320">
        <w:lastRenderedPageBreak/>
        <w:t>to arrange these meetings. If you have not heard from your tutor by the start of the Module, please contact Helen King (</w:t>
      </w:r>
      <w:hyperlink r:id="rId15" w:history="1">
        <w:r w:rsidRPr="009D7320">
          <w:rPr>
            <w:rStyle w:val="Hyperlink"/>
            <w:u w:val="none"/>
          </w:rPr>
          <w:t>Helen.King@imperial.ac.uk</w:t>
        </w:r>
      </w:hyperlink>
      <w:r w:rsidRPr="009D7320">
        <w:t xml:space="preserve"> ).</w:t>
      </w:r>
    </w:p>
    <w:p w:rsidR="00857D02" w:rsidRPr="009D7320" w:rsidRDefault="00857D02" w:rsidP="008B74F1">
      <w:pPr>
        <w:pStyle w:val="Heading2"/>
        <w:rPr>
          <w:rFonts w:eastAsia="Calibri"/>
          <w:lang w:eastAsia="en-GB"/>
        </w:rPr>
      </w:pPr>
    </w:p>
    <w:p w:rsidR="008B74F1" w:rsidRPr="009D7320" w:rsidRDefault="008B74F1" w:rsidP="008B74F1">
      <w:pPr>
        <w:pStyle w:val="Heading2"/>
        <w:rPr>
          <w:rFonts w:eastAsia="Calibri"/>
          <w:lang w:val="en-GB" w:eastAsia="en-GB"/>
        </w:rPr>
      </w:pPr>
      <w:r w:rsidRPr="009D7320">
        <w:rPr>
          <w:rFonts w:eastAsia="Calibri"/>
          <w:lang w:val="en-GB" w:eastAsia="en-GB"/>
        </w:rPr>
        <w:t>Assessment</w:t>
      </w:r>
    </w:p>
    <w:p w:rsidR="008B74F1" w:rsidRPr="009D7320" w:rsidRDefault="008B74F1" w:rsidP="008B74F1">
      <w:r w:rsidRPr="009D7320">
        <w:t xml:space="preserve">This will be assessed by a single piece of in-course assessment, </w:t>
      </w:r>
      <w:r w:rsidR="00CE27C9" w:rsidRPr="009D7320">
        <w:t xml:space="preserve">which </w:t>
      </w:r>
      <w:r w:rsidR="000D3856" w:rsidRPr="009D7320">
        <w:t>consists of</w:t>
      </w:r>
      <w:r w:rsidR="00CE27C9" w:rsidRPr="009D7320">
        <w:t xml:space="preserve"> </w:t>
      </w:r>
      <w:r w:rsidR="00F27A58" w:rsidRPr="009D7320">
        <w:t>a</w:t>
      </w:r>
      <w:r w:rsidR="00CE27C9" w:rsidRPr="009D7320">
        <w:t xml:space="preserve"> group work </w:t>
      </w:r>
      <w:r w:rsidR="00F27A58" w:rsidRPr="009D7320">
        <w:t xml:space="preserve">task </w:t>
      </w:r>
      <w:r w:rsidR="00CE27C9" w:rsidRPr="009D7320">
        <w:t>on</w:t>
      </w:r>
      <w:r w:rsidR="000D3856" w:rsidRPr="009D7320">
        <w:t xml:space="preserve"> one of</w:t>
      </w:r>
      <w:r w:rsidR="00CE27C9" w:rsidRPr="009D7320">
        <w:t xml:space="preserve"> the </w:t>
      </w:r>
      <w:r w:rsidR="00F27A58" w:rsidRPr="009D7320">
        <w:t xml:space="preserve">Millennium Development Goals </w:t>
      </w:r>
      <w:r w:rsidR="00CE27C9" w:rsidRPr="009D7320">
        <w:t xml:space="preserve">(see below).  </w:t>
      </w:r>
      <w:r w:rsidRPr="009D7320">
        <w:t xml:space="preserve">Failure to </w:t>
      </w:r>
      <w:r w:rsidR="00CE27C9" w:rsidRPr="009D7320">
        <w:t xml:space="preserve">contribute to or to complete </w:t>
      </w:r>
      <w:r w:rsidR="00506729" w:rsidRPr="009D7320">
        <w:t>this</w:t>
      </w:r>
      <w:r w:rsidRPr="009D7320">
        <w:t xml:space="preserve"> can result in you being withdrawn from the BSc. While the mark for this </w:t>
      </w:r>
      <w:r w:rsidR="00F27A58" w:rsidRPr="009D7320">
        <w:t>in-course assessment</w:t>
      </w:r>
      <w:r w:rsidRPr="009D7320">
        <w:t xml:space="preserve"> will not contribute to your BSc mark, the material taught in the course may be included in the Part B exam</w:t>
      </w:r>
      <w:r w:rsidR="000D3856" w:rsidRPr="009D7320">
        <w:t>ination</w:t>
      </w:r>
      <w:r w:rsidRPr="009D7320">
        <w:t xml:space="preserve">s.  In addition, the </w:t>
      </w:r>
      <w:r w:rsidR="00F27A58" w:rsidRPr="009D7320">
        <w:t xml:space="preserve">in-course assessment </w:t>
      </w:r>
      <w:r w:rsidRPr="009D7320">
        <w:t xml:space="preserve">mark can be used in your allocation to a </w:t>
      </w:r>
      <w:r w:rsidR="00506729" w:rsidRPr="009D7320">
        <w:t xml:space="preserve">BSc </w:t>
      </w:r>
      <w:r w:rsidRPr="009D7320">
        <w:t>project.</w:t>
      </w:r>
    </w:p>
    <w:p w:rsidR="00512664" w:rsidRPr="009D7320" w:rsidRDefault="00F40143" w:rsidP="00CE27C9">
      <w:pPr>
        <w:pStyle w:val="Heading2"/>
      </w:pPr>
      <w:r w:rsidRPr="009D7320">
        <w:t xml:space="preserve">In-course assessment </w:t>
      </w:r>
      <w:r w:rsidR="00512664" w:rsidRPr="009D7320">
        <w:t xml:space="preserve">on </w:t>
      </w:r>
      <w:r w:rsidRPr="009D7320">
        <w:t xml:space="preserve">Millennium Development Goals </w:t>
      </w:r>
      <w:r w:rsidR="00512664" w:rsidRPr="009D7320">
        <w:t>(MDGs)</w:t>
      </w: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Students will be divided into five groups of 6</w:t>
      </w:r>
      <w:r w:rsidR="001865BD" w:rsidRPr="009D7320">
        <w:rPr>
          <w:rFonts w:asciiTheme="majorHAnsi" w:hAnsiTheme="majorHAnsi"/>
          <w:sz w:val="22"/>
          <w:szCs w:val="22"/>
        </w:rPr>
        <w:t xml:space="preserve"> (see </w:t>
      </w:r>
      <w:r w:rsidR="005B31C0" w:rsidRPr="009D7320">
        <w:rPr>
          <w:rFonts w:asciiTheme="majorHAnsi" w:hAnsiTheme="majorHAnsi"/>
          <w:sz w:val="22"/>
          <w:szCs w:val="22"/>
        </w:rPr>
        <w:t>Intranet</w:t>
      </w:r>
      <w:r w:rsidR="001865BD" w:rsidRPr="009D7320">
        <w:rPr>
          <w:rFonts w:asciiTheme="majorHAnsi" w:hAnsiTheme="majorHAnsi"/>
          <w:sz w:val="22"/>
          <w:szCs w:val="22"/>
        </w:rPr>
        <w:t>)</w:t>
      </w:r>
      <w:r w:rsidRPr="009D7320">
        <w:rPr>
          <w:rFonts w:asciiTheme="majorHAnsi" w:hAnsiTheme="majorHAnsi"/>
          <w:sz w:val="22"/>
          <w:szCs w:val="22"/>
        </w:rPr>
        <w:t>. Each group will be allocated one of the first 5 MDGs and asked to study them over the two weeks. Groups should</w:t>
      </w:r>
      <w:r w:rsidR="00D00E74" w:rsidRPr="009D7320">
        <w:rPr>
          <w:rFonts w:asciiTheme="majorHAnsi" w:hAnsiTheme="majorHAnsi"/>
          <w:sz w:val="22"/>
          <w:szCs w:val="22"/>
        </w:rPr>
        <w:t>:</w:t>
      </w:r>
    </w:p>
    <w:p w:rsidR="00512664" w:rsidRPr="009D7320" w:rsidRDefault="00512664" w:rsidP="00512664">
      <w:pPr>
        <w:numPr>
          <w:ilvl w:val="0"/>
          <w:numId w:val="4"/>
        </w:numPr>
        <w:contextualSpacing/>
        <w:rPr>
          <w:rFonts w:asciiTheme="majorHAnsi" w:hAnsiTheme="majorHAnsi"/>
          <w:sz w:val="22"/>
          <w:szCs w:val="22"/>
        </w:rPr>
      </w:pPr>
      <w:r w:rsidRPr="009D7320">
        <w:rPr>
          <w:rFonts w:asciiTheme="majorHAnsi" w:hAnsiTheme="majorHAnsi"/>
          <w:sz w:val="22"/>
          <w:szCs w:val="22"/>
        </w:rPr>
        <w:t>Describe the goal and any specific targets</w:t>
      </w:r>
    </w:p>
    <w:p w:rsidR="00512664" w:rsidRPr="009D7320" w:rsidRDefault="00512664" w:rsidP="00512664">
      <w:pPr>
        <w:numPr>
          <w:ilvl w:val="0"/>
          <w:numId w:val="4"/>
        </w:numPr>
        <w:contextualSpacing/>
        <w:rPr>
          <w:rFonts w:asciiTheme="majorHAnsi" w:hAnsiTheme="majorHAnsi"/>
          <w:sz w:val="22"/>
          <w:szCs w:val="22"/>
        </w:rPr>
      </w:pPr>
      <w:r w:rsidRPr="009D7320">
        <w:rPr>
          <w:rFonts w:asciiTheme="majorHAnsi" w:hAnsiTheme="majorHAnsi"/>
          <w:sz w:val="22"/>
          <w:szCs w:val="22"/>
        </w:rPr>
        <w:t>Find out how these are measured, and assess whether these measurements are valid and comparable</w:t>
      </w:r>
    </w:p>
    <w:p w:rsidR="00512664" w:rsidRPr="009D7320" w:rsidRDefault="00512664" w:rsidP="00512664">
      <w:pPr>
        <w:numPr>
          <w:ilvl w:val="0"/>
          <w:numId w:val="4"/>
        </w:numPr>
        <w:contextualSpacing/>
        <w:rPr>
          <w:rFonts w:asciiTheme="majorHAnsi" w:hAnsiTheme="majorHAnsi"/>
          <w:sz w:val="22"/>
          <w:szCs w:val="22"/>
        </w:rPr>
      </w:pPr>
      <w:r w:rsidRPr="009D7320">
        <w:rPr>
          <w:rFonts w:asciiTheme="majorHAnsi" w:hAnsiTheme="majorHAnsi"/>
          <w:sz w:val="22"/>
          <w:szCs w:val="22"/>
        </w:rPr>
        <w:t>Describe the global variation in the baseline for the goal/targets and the progress towards them</w:t>
      </w:r>
    </w:p>
    <w:p w:rsidR="00512664" w:rsidRPr="009D7320" w:rsidRDefault="00512664" w:rsidP="00512664">
      <w:pPr>
        <w:numPr>
          <w:ilvl w:val="0"/>
          <w:numId w:val="4"/>
        </w:numPr>
        <w:contextualSpacing/>
        <w:rPr>
          <w:rFonts w:asciiTheme="majorHAnsi" w:hAnsiTheme="majorHAnsi"/>
          <w:sz w:val="22"/>
          <w:szCs w:val="22"/>
        </w:rPr>
      </w:pPr>
      <w:r w:rsidRPr="009D7320">
        <w:rPr>
          <w:rFonts w:asciiTheme="majorHAnsi" w:hAnsiTheme="majorHAnsi"/>
          <w:sz w:val="22"/>
          <w:szCs w:val="22"/>
        </w:rPr>
        <w:t>Identify a case study where major progress has been made</w:t>
      </w:r>
    </w:p>
    <w:p w:rsidR="00512664" w:rsidRPr="009D7320" w:rsidRDefault="00512664" w:rsidP="00512664">
      <w:pPr>
        <w:numPr>
          <w:ilvl w:val="0"/>
          <w:numId w:val="4"/>
        </w:numPr>
        <w:contextualSpacing/>
        <w:rPr>
          <w:rFonts w:asciiTheme="majorHAnsi" w:hAnsiTheme="majorHAnsi"/>
          <w:sz w:val="22"/>
          <w:szCs w:val="22"/>
        </w:rPr>
      </w:pPr>
      <w:r w:rsidRPr="009D7320">
        <w:rPr>
          <w:rFonts w:asciiTheme="majorHAnsi" w:hAnsiTheme="majorHAnsi"/>
          <w:sz w:val="22"/>
          <w:szCs w:val="22"/>
        </w:rPr>
        <w:t>Discuss obstacles to achievement of the goal at a global level</w:t>
      </w:r>
    </w:p>
    <w:p w:rsidR="00D00E74" w:rsidRPr="009D7320" w:rsidRDefault="00D00E74" w:rsidP="00512664">
      <w:pPr>
        <w:contextualSpacing/>
        <w:rPr>
          <w:rFonts w:asciiTheme="majorHAnsi" w:hAnsiTheme="majorHAnsi"/>
          <w:sz w:val="22"/>
          <w:szCs w:val="22"/>
        </w:rPr>
      </w:pP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At the end of t</w:t>
      </w:r>
      <w:r w:rsidR="000D3856" w:rsidRPr="009D7320">
        <w:rPr>
          <w:rFonts w:asciiTheme="majorHAnsi" w:hAnsiTheme="majorHAnsi"/>
          <w:sz w:val="22"/>
          <w:szCs w:val="22"/>
        </w:rPr>
        <w:t xml:space="preserve">he introductory course, on </w:t>
      </w:r>
      <w:r w:rsidR="00D00E74" w:rsidRPr="009D7320">
        <w:rPr>
          <w:rFonts w:asciiTheme="majorHAnsi" w:hAnsiTheme="majorHAnsi"/>
          <w:sz w:val="22"/>
          <w:szCs w:val="22"/>
        </w:rPr>
        <w:t>Thursday 4</w:t>
      </w:r>
      <w:r w:rsidRPr="009D7320">
        <w:rPr>
          <w:rFonts w:asciiTheme="majorHAnsi" w:hAnsiTheme="majorHAnsi"/>
          <w:sz w:val="22"/>
          <w:szCs w:val="22"/>
        </w:rPr>
        <w:t xml:space="preserve"> October</w:t>
      </w:r>
      <w:r w:rsidR="000D3856" w:rsidRPr="009D7320">
        <w:rPr>
          <w:rFonts w:asciiTheme="majorHAnsi" w:hAnsiTheme="majorHAnsi"/>
          <w:sz w:val="22"/>
          <w:szCs w:val="22"/>
        </w:rPr>
        <w:t xml:space="preserve">, </w:t>
      </w:r>
      <w:r w:rsidRPr="009D7320">
        <w:rPr>
          <w:rFonts w:asciiTheme="majorHAnsi" w:hAnsiTheme="majorHAnsi"/>
          <w:sz w:val="22"/>
          <w:szCs w:val="22"/>
        </w:rPr>
        <w:t xml:space="preserve"> you will </w:t>
      </w:r>
      <w:r w:rsidR="00D00E74" w:rsidRPr="009D7320">
        <w:rPr>
          <w:rFonts w:asciiTheme="majorHAnsi" w:hAnsiTheme="majorHAnsi"/>
          <w:sz w:val="22"/>
          <w:szCs w:val="22"/>
        </w:rPr>
        <w:t>give</w:t>
      </w:r>
      <w:r w:rsidRPr="009D7320">
        <w:rPr>
          <w:rFonts w:asciiTheme="majorHAnsi" w:hAnsiTheme="majorHAnsi"/>
          <w:sz w:val="22"/>
          <w:szCs w:val="22"/>
        </w:rPr>
        <w:t xml:space="preserve"> a </w:t>
      </w:r>
      <w:r w:rsidR="00D00E74" w:rsidRPr="009D7320">
        <w:rPr>
          <w:rFonts w:asciiTheme="majorHAnsi" w:hAnsiTheme="majorHAnsi"/>
          <w:sz w:val="22"/>
          <w:szCs w:val="22"/>
        </w:rPr>
        <w:t xml:space="preserve">group </w:t>
      </w:r>
      <w:r w:rsidRPr="009D7320">
        <w:rPr>
          <w:rFonts w:asciiTheme="majorHAnsi" w:hAnsiTheme="majorHAnsi"/>
          <w:sz w:val="22"/>
          <w:szCs w:val="22"/>
        </w:rPr>
        <w:t>presentation on the MDG to the</w:t>
      </w:r>
      <w:r w:rsidR="000D3856" w:rsidRPr="009D7320">
        <w:rPr>
          <w:rFonts w:asciiTheme="majorHAnsi" w:hAnsiTheme="majorHAnsi"/>
          <w:sz w:val="22"/>
          <w:szCs w:val="22"/>
        </w:rPr>
        <w:t xml:space="preserve"> rest of the class</w:t>
      </w:r>
      <w:r w:rsidRPr="009D7320">
        <w:rPr>
          <w:rFonts w:asciiTheme="majorHAnsi" w:hAnsiTheme="majorHAnsi"/>
          <w:sz w:val="22"/>
          <w:szCs w:val="22"/>
        </w:rPr>
        <w:t>. Th</w:t>
      </w:r>
      <w:r w:rsidR="00D00E74" w:rsidRPr="009D7320">
        <w:rPr>
          <w:rFonts w:asciiTheme="majorHAnsi" w:hAnsiTheme="majorHAnsi"/>
          <w:sz w:val="22"/>
          <w:szCs w:val="22"/>
        </w:rPr>
        <w:t xml:space="preserve">is </w:t>
      </w:r>
      <w:r w:rsidR="000D3856" w:rsidRPr="009D7320">
        <w:rPr>
          <w:rFonts w:asciiTheme="majorHAnsi" w:hAnsiTheme="majorHAnsi"/>
          <w:sz w:val="22"/>
          <w:szCs w:val="22"/>
        </w:rPr>
        <w:t>should</w:t>
      </w:r>
      <w:r w:rsidR="00D00E74" w:rsidRPr="009D7320">
        <w:rPr>
          <w:rFonts w:asciiTheme="majorHAnsi" w:hAnsiTheme="majorHAnsi"/>
          <w:sz w:val="22"/>
          <w:szCs w:val="22"/>
        </w:rPr>
        <w:t xml:space="preserve"> last 15</w:t>
      </w:r>
      <w:r w:rsidRPr="009D7320">
        <w:rPr>
          <w:rFonts w:asciiTheme="majorHAnsi" w:hAnsiTheme="majorHAnsi"/>
          <w:sz w:val="22"/>
          <w:szCs w:val="22"/>
        </w:rPr>
        <w:t xml:space="preserve"> minute</w:t>
      </w:r>
      <w:r w:rsidR="00D00E74" w:rsidRPr="009D7320">
        <w:rPr>
          <w:rFonts w:asciiTheme="majorHAnsi" w:hAnsiTheme="majorHAnsi"/>
          <w:sz w:val="22"/>
          <w:szCs w:val="22"/>
        </w:rPr>
        <w:t>s</w:t>
      </w:r>
      <w:r w:rsidRPr="009D7320">
        <w:rPr>
          <w:rFonts w:asciiTheme="majorHAnsi" w:hAnsiTheme="majorHAnsi"/>
          <w:sz w:val="22"/>
          <w:szCs w:val="22"/>
        </w:rPr>
        <w:t xml:space="preserve"> (</w:t>
      </w:r>
      <w:r w:rsidR="00D00E74" w:rsidRPr="009D7320">
        <w:rPr>
          <w:rFonts w:asciiTheme="majorHAnsi" w:hAnsiTheme="majorHAnsi"/>
          <w:sz w:val="22"/>
          <w:szCs w:val="22"/>
        </w:rPr>
        <w:t xml:space="preserve">with an additional 5 minutes for questions and discussion). You should consider </w:t>
      </w:r>
      <w:r w:rsidRPr="009D7320">
        <w:rPr>
          <w:rFonts w:asciiTheme="majorHAnsi" w:hAnsiTheme="majorHAnsi"/>
          <w:sz w:val="22"/>
          <w:szCs w:val="22"/>
        </w:rPr>
        <w:t xml:space="preserve">using media </w:t>
      </w:r>
      <w:r w:rsidR="00D00E74" w:rsidRPr="009D7320">
        <w:rPr>
          <w:rFonts w:asciiTheme="majorHAnsi" w:hAnsiTheme="majorHAnsi"/>
          <w:sz w:val="22"/>
          <w:szCs w:val="22"/>
        </w:rPr>
        <w:t>to</w:t>
      </w:r>
      <w:r w:rsidRPr="009D7320">
        <w:rPr>
          <w:rFonts w:asciiTheme="majorHAnsi" w:hAnsiTheme="majorHAnsi"/>
          <w:sz w:val="22"/>
          <w:szCs w:val="22"/>
        </w:rPr>
        <w:t xml:space="preserve"> best illustrates the issues – power point, video clips, drama, stories, vignettes, case studies.  You should also produce a short handout (see below).</w:t>
      </w:r>
    </w:p>
    <w:p w:rsidR="00F0056F" w:rsidRPr="009D7320" w:rsidRDefault="00F0056F" w:rsidP="00512664">
      <w:pPr>
        <w:contextualSpacing/>
        <w:rPr>
          <w:rFonts w:asciiTheme="majorHAnsi" w:hAnsiTheme="majorHAnsi"/>
          <w:sz w:val="22"/>
          <w:szCs w:val="22"/>
        </w:rPr>
      </w:pP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Although this work is not part of you</w:t>
      </w:r>
      <w:r w:rsidR="00F0056F" w:rsidRPr="009D7320">
        <w:rPr>
          <w:rFonts w:asciiTheme="majorHAnsi" w:hAnsiTheme="majorHAnsi"/>
          <w:sz w:val="22"/>
          <w:szCs w:val="22"/>
        </w:rPr>
        <w:t>r</w:t>
      </w:r>
      <w:r w:rsidRPr="009D7320">
        <w:rPr>
          <w:rFonts w:asciiTheme="majorHAnsi" w:hAnsiTheme="majorHAnsi"/>
          <w:sz w:val="22"/>
          <w:szCs w:val="22"/>
        </w:rPr>
        <w:t xml:space="preserve"> summative assessment, we will provide feedback on the presentation and the handout. </w:t>
      </w:r>
    </w:p>
    <w:p w:rsidR="00512664" w:rsidRPr="009D7320" w:rsidRDefault="00512664" w:rsidP="00512664">
      <w:pPr>
        <w:contextualSpacing/>
        <w:rPr>
          <w:rFonts w:asciiTheme="majorHAnsi" w:hAnsiTheme="majorHAnsi"/>
          <w:b/>
          <w:sz w:val="22"/>
          <w:szCs w:val="22"/>
        </w:rPr>
      </w:pPr>
    </w:p>
    <w:p w:rsidR="00512664" w:rsidRPr="009D7320" w:rsidRDefault="00512664" w:rsidP="00512664">
      <w:pPr>
        <w:contextualSpacing/>
        <w:rPr>
          <w:rFonts w:asciiTheme="majorHAnsi" w:hAnsiTheme="majorHAnsi"/>
          <w:b/>
          <w:sz w:val="22"/>
          <w:szCs w:val="22"/>
        </w:rPr>
      </w:pPr>
      <w:r w:rsidRPr="009D7320">
        <w:rPr>
          <w:rFonts w:asciiTheme="majorHAnsi" w:hAnsiTheme="majorHAnsi"/>
          <w:b/>
          <w:sz w:val="22"/>
          <w:szCs w:val="22"/>
        </w:rPr>
        <w:t>Protocols for working in groups</w:t>
      </w: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One of the learning outcomes for this exercise is to understand how to work effectively in groups. Students often complain about unfair distribution of work in groups, with some enthusiasts feeling that the</w:t>
      </w:r>
      <w:r w:rsidR="00F0056F" w:rsidRPr="009D7320">
        <w:rPr>
          <w:rFonts w:asciiTheme="majorHAnsi" w:hAnsiTheme="majorHAnsi"/>
          <w:sz w:val="22"/>
          <w:szCs w:val="22"/>
        </w:rPr>
        <w:t>y</w:t>
      </w:r>
      <w:r w:rsidRPr="009D7320">
        <w:rPr>
          <w:rFonts w:asciiTheme="majorHAnsi" w:hAnsiTheme="majorHAnsi"/>
          <w:sz w:val="22"/>
          <w:szCs w:val="22"/>
        </w:rPr>
        <w:t xml:space="preserve"> “carry” other students who are less engaged. Learning how to overcome this is a key part of group work and we propose to test out a way to tackle this. </w:t>
      </w: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Each group will be asked to produce a short handout to accompany their presentation. This should be no more than two sides of A4 and include a few key facts and examples to help other students, and also include the names and contributions of each member of the group. This is now the standard in any academic publication and is good practice. All members have to ag</w:t>
      </w:r>
      <w:r w:rsidR="00193CF9" w:rsidRPr="009D7320">
        <w:rPr>
          <w:rFonts w:asciiTheme="majorHAnsi" w:hAnsiTheme="majorHAnsi"/>
          <w:sz w:val="22"/>
          <w:szCs w:val="22"/>
        </w:rPr>
        <w:t>ree the wording of that section.</w:t>
      </w:r>
    </w:p>
    <w:p w:rsidR="00512664" w:rsidRPr="009D7320" w:rsidRDefault="00512664" w:rsidP="00512664">
      <w:pPr>
        <w:contextualSpacing/>
        <w:rPr>
          <w:rFonts w:asciiTheme="majorHAnsi" w:hAnsiTheme="majorHAnsi"/>
          <w:sz w:val="22"/>
          <w:szCs w:val="22"/>
        </w:rPr>
      </w:pP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 xml:space="preserve">For example (fictitious of course!): </w:t>
      </w:r>
    </w:p>
    <w:p w:rsidR="00512664" w:rsidRPr="009D7320" w:rsidRDefault="00512664" w:rsidP="00512664">
      <w:pPr>
        <w:ind w:left="720"/>
        <w:contextualSpacing/>
        <w:rPr>
          <w:rFonts w:asciiTheme="majorHAnsi" w:hAnsiTheme="majorHAnsi"/>
          <w:i/>
          <w:sz w:val="22"/>
          <w:szCs w:val="22"/>
        </w:rPr>
      </w:pPr>
      <w:r w:rsidRPr="009D7320">
        <w:rPr>
          <w:rFonts w:asciiTheme="majorHAnsi" w:hAnsiTheme="majorHAnsi"/>
          <w:i/>
          <w:sz w:val="22"/>
          <w:szCs w:val="22"/>
        </w:rPr>
        <w:t>Contributors to introductory module:</w:t>
      </w:r>
    </w:p>
    <w:p w:rsidR="00512664" w:rsidRPr="009D7320" w:rsidRDefault="00512664" w:rsidP="00512664">
      <w:pPr>
        <w:numPr>
          <w:ilvl w:val="0"/>
          <w:numId w:val="5"/>
        </w:numPr>
        <w:contextualSpacing/>
        <w:rPr>
          <w:rFonts w:asciiTheme="majorHAnsi" w:hAnsiTheme="majorHAnsi"/>
          <w:i/>
          <w:sz w:val="22"/>
          <w:szCs w:val="22"/>
        </w:rPr>
      </w:pPr>
      <w:r w:rsidRPr="009D7320">
        <w:rPr>
          <w:rFonts w:asciiTheme="majorHAnsi" w:hAnsiTheme="majorHAnsi"/>
          <w:i/>
          <w:sz w:val="22"/>
          <w:szCs w:val="22"/>
        </w:rPr>
        <w:t>Helen Ward (produced first draft timetable and learning outcomes and prepared material for the group work)</w:t>
      </w:r>
    </w:p>
    <w:p w:rsidR="00512664" w:rsidRPr="009D7320" w:rsidRDefault="00512664" w:rsidP="00512664">
      <w:pPr>
        <w:numPr>
          <w:ilvl w:val="0"/>
          <w:numId w:val="5"/>
        </w:numPr>
        <w:contextualSpacing/>
        <w:rPr>
          <w:rFonts w:asciiTheme="majorHAnsi" w:hAnsiTheme="majorHAnsi"/>
          <w:i/>
          <w:sz w:val="22"/>
          <w:szCs w:val="22"/>
        </w:rPr>
      </w:pPr>
      <w:r w:rsidRPr="009D7320">
        <w:rPr>
          <w:rFonts w:asciiTheme="majorHAnsi" w:hAnsiTheme="majorHAnsi"/>
          <w:i/>
          <w:sz w:val="22"/>
          <w:szCs w:val="22"/>
        </w:rPr>
        <w:t>Paolo Vineis (developed proposals for teaching in research methods and developed the practicals)</w:t>
      </w:r>
    </w:p>
    <w:p w:rsidR="00512664" w:rsidRPr="009D7320" w:rsidRDefault="00512664" w:rsidP="00512664">
      <w:pPr>
        <w:numPr>
          <w:ilvl w:val="0"/>
          <w:numId w:val="5"/>
        </w:numPr>
        <w:contextualSpacing/>
        <w:rPr>
          <w:rFonts w:asciiTheme="majorHAnsi" w:hAnsiTheme="majorHAnsi"/>
          <w:i/>
          <w:sz w:val="22"/>
          <w:szCs w:val="22"/>
        </w:rPr>
      </w:pPr>
      <w:r w:rsidRPr="009D7320">
        <w:rPr>
          <w:rFonts w:asciiTheme="majorHAnsi" w:hAnsiTheme="majorHAnsi"/>
          <w:i/>
          <w:sz w:val="22"/>
          <w:szCs w:val="22"/>
        </w:rPr>
        <w:t>Alex Bond (handbook, room bo</w:t>
      </w:r>
      <w:r w:rsidR="008B74F1" w:rsidRPr="009D7320">
        <w:rPr>
          <w:rFonts w:asciiTheme="majorHAnsi" w:hAnsiTheme="majorHAnsi"/>
          <w:i/>
          <w:sz w:val="22"/>
          <w:szCs w:val="22"/>
        </w:rPr>
        <w:t xml:space="preserve">okings and </w:t>
      </w:r>
      <w:r w:rsidRPr="009D7320">
        <w:rPr>
          <w:rFonts w:asciiTheme="majorHAnsi" w:hAnsiTheme="majorHAnsi"/>
          <w:i/>
          <w:sz w:val="22"/>
          <w:szCs w:val="22"/>
        </w:rPr>
        <w:t xml:space="preserve">communication) </w:t>
      </w:r>
    </w:p>
    <w:p w:rsidR="00512664" w:rsidRPr="009D7320" w:rsidRDefault="00512664" w:rsidP="00512664">
      <w:pPr>
        <w:contextualSpacing/>
        <w:rPr>
          <w:rFonts w:asciiTheme="majorHAnsi" w:hAnsiTheme="majorHAnsi"/>
          <w:sz w:val="22"/>
          <w:szCs w:val="22"/>
        </w:rPr>
      </w:pPr>
      <w:r w:rsidRPr="009D7320">
        <w:rPr>
          <w:rFonts w:asciiTheme="majorHAnsi" w:hAnsiTheme="majorHAnsi"/>
          <w:sz w:val="22"/>
          <w:szCs w:val="22"/>
        </w:rPr>
        <w:t xml:space="preserve"> </w:t>
      </w:r>
    </w:p>
    <w:p w:rsidR="00512664" w:rsidRPr="009D7320" w:rsidRDefault="00512664" w:rsidP="00512664">
      <w:pPr>
        <w:autoSpaceDE w:val="0"/>
        <w:autoSpaceDN w:val="0"/>
        <w:adjustRightInd w:val="0"/>
        <w:rPr>
          <w:rFonts w:asciiTheme="majorHAnsi" w:eastAsia="Calibri" w:hAnsiTheme="majorHAnsi" w:cs="MyriadPro-Bold"/>
          <w:b/>
          <w:bCs/>
          <w:sz w:val="22"/>
          <w:szCs w:val="22"/>
          <w:lang w:val="en-GB" w:eastAsia="en-GB"/>
        </w:rPr>
      </w:pPr>
      <w:r w:rsidRPr="009D7320">
        <w:rPr>
          <w:rFonts w:asciiTheme="majorHAnsi" w:hAnsiTheme="majorHAnsi"/>
          <w:b/>
          <w:sz w:val="22"/>
          <w:szCs w:val="22"/>
        </w:rPr>
        <w:t>The five MDGs</w:t>
      </w:r>
      <w:r w:rsidRPr="009D7320">
        <w:rPr>
          <w:rFonts w:asciiTheme="majorHAnsi" w:eastAsia="Calibri" w:hAnsiTheme="majorHAnsi" w:cs="MyriadPro-Bold"/>
          <w:b/>
          <w:bCs/>
          <w:sz w:val="22"/>
          <w:szCs w:val="22"/>
          <w:lang w:val="en-GB" w:eastAsia="en-GB"/>
        </w:rPr>
        <w:t xml:space="preserve"> to be covered by the groups</w:t>
      </w:r>
      <w:r w:rsidR="007A18EE" w:rsidRPr="009D7320">
        <w:rPr>
          <w:rFonts w:asciiTheme="majorHAnsi" w:eastAsia="Calibri" w:hAnsiTheme="majorHAnsi" w:cs="MyriadPro-Bold"/>
          <w:b/>
          <w:bCs/>
          <w:sz w:val="22"/>
          <w:szCs w:val="22"/>
          <w:lang w:val="en-GB" w:eastAsia="en-GB"/>
        </w:rPr>
        <w:t xml:space="preserve"> </w:t>
      </w:r>
      <w:r w:rsidR="00DE0E3E" w:rsidRPr="009D7320">
        <w:rPr>
          <w:rFonts w:asciiTheme="majorHAnsi" w:eastAsia="Calibri" w:hAnsiTheme="majorHAnsi" w:cs="MyriadPro-Bold"/>
          <w:b/>
          <w:bCs/>
          <w:sz w:val="22"/>
          <w:szCs w:val="22"/>
          <w:lang w:val="en-GB" w:eastAsia="en-GB"/>
        </w:rPr>
        <w:t>(see allocations on intranet)</w:t>
      </w:r>
    </w:p>
    <w:p w:rsidR="00512664" w:rsidRPr="009D7320" w:rsidRDefault="00512664" w:rsidP="00512664">
      <w:pPr>
        <w:pStyle w:val="ListParagraph"/>
        <w:numPr>
          <w:ilvl w:val="0"/>
          <w:numId w:val="6"/>
        </w:num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Goal 1 Eradicate extreme poverty and hunger</w:t>
      </w:r>
    </w:p>
    <w:p w:rsidR="00512664" w:rsidRPr="009D7320" w:rsidRDefault="00512664" w:rsidP="00512664">
      <w:pPr>
        <w:pStyle w:val="ListParagraph"/>
        <w:numPr>
          <w:ilvl w:val="0"/>
          <w:numId w:val="6"/>
        </w:num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Goal 2 Achieve universal primary education</w:t>
      </w:r>
    </w:p>
    <w:p w:rsidR="00512664" w:rsidRPr="009D7320" w:rsidRDefault="00512664" w:rsidP="00512664">
      <w:pPr>
        <w:pStyle w:val="ListParagraph"/>
        <w:numPr>
          <w:ilvl w:val="0"/>
          <w:numId w:val="6"/>
        </w:num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lastRenderedPageBreak/>
        <w:t>Goal 3 Promote gender equality and empower women</w:t>
      </w:r>
    </w:p>
    <w:p w:rsidR="00512664" w:rsidRPr="009D7320" w:rsidRDefault="00512664" w:rsidP="00512664">
      <w:pPr>
        <w:pStyle w:val="ListParagraph"/>
        <w:numPr>
          <w:ilvl w:val="0"/>
          <w:numId w:val="6"/>
        </w:num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Goal 4 Reduce child mortality</w:t>
      </w:r>
    </w:p>
    <w:p w:rsidR="008B74F1" w:rsidRPr="009D7320" w:rsidRDefault="00512664" w:rsidP="008B74F1">
      <w:pPr>
        <w:pStyle w:val="ListParagraph"/>
        <w:numPr>
          <w:ilvl w:val="0"/>
          <w:numId w:val="6"/>
        </w:num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Goal 5 Improve maternal health</w:t>
      </w:r>
    </w:p>
    <w:p w:rsidR="00AE4C0F" w:rsidRPr="009D7320" w:rsidRDefault="00AE4C0F" w:rsidP="00193CF9">
      <w:pPr>
        <w:autoSpaceDE w:val="0"/>
        <w:autoSpaceDN w:val="0"/>
        <w:adjustRightInd w:val="0"/>
        <w:rPr>
          <w:rFonts w:asciiTheme="majorHAnsi" w:eastAsia="Calibri" w:hAnsiTheme="majorHAnsi" w:cs="MyriadPro-Bold"/>
          <w:bCs/>
          <w:sz w:val="22"/>
          <w:szCs w:val="22"/>
          <w:lang w:val="en-GB" w:eastAsia="en-GB"/>
        </w:rPr>
      </w:pPr>
    </w:p>
    <w:p w:rsidR="00193CF9" w:rsidRPr="009D7320" w:rsidRDefault="00193CF9" w:rsidP="00193CF9">
      <w:pPr>
        <w:autoSpaceDE w:val="0"/>
        <w:autoSpaceDN w:val="0"/>
        <w:adjustRightInd w:val="0"/>
        <w:rPr>
          <w:rFonts w:asciiTheme="majorHAnsi" w:eastAsia="Calibri" w:hAnsiTheme="majorHAnsi" w:cs="MyriadPro-Bold"/>
          <w:b/>
          <w:bCs/>
          <w:sz w:val="22"/>
          <w:szCs w:val="22"/>
          <w:lang w:val="en-GB" w:eastAsia="en-GB"/>
        </w:rPr>
      </w:pPr>
    </w:p>
    <w:p w:rsidR="00193CF9" w:rsidRPr="009D7320" w:rsidRDefault="00193CF9" w:rsidP="00193CF9">
      <w:pPr>
        <w:autoSpaceDE w:val="0"/>
        <w:autoSpaceDN w:val="0"/>
        <w:adjustRightInd w:val="0"/>
        <w:rPr>
          <w:rFonts w:asciiTheme="majorHAnsi" w:eastAsia="Calibri" w:hAnsiTheme="majorHAnsi" w:cs="MyriadPro-Bold"/>
          <w:b/>
          <w:bCs/>
          <w:sz w:val="22"/>
          <w:szCs w:val="22"/>
          <w:lang w:val="en-GB" w:eastAsia="en-GB"/>
        </w:rPr>
      </w:pPr>
    </w:p>
    <w:p w:rsidR="00193CF9" w:rsidRPr="009D7320" w:rsidRDefault="00193CF9" w:rsidP="00193CF9">
      <w:pPr>
        <w:autoSpaceDE w:val="0"/>
        <w:autoSpaceDN w:val="0"/>
        <w:adjustRightInd w:val="0"/>
        <w:rPr>
          <w:rFonts w:asciiTheme="majorHAnsi" w:eastAsia="Calibri" w:hAnsiTheme="majorHAnsi" w:cs="MyriadPro-Bold"/>
          <w:b/>
          <w:bCs/>
          <w:sz w:val="22"/>
          <w:szCs w:val="22"/>
          <w:lang w:val="en-GB" w:eastAsia="en-GB"/>
        </w:rPr>
      </w:pPr>
      <w:r w:rsidRPr="009D7320">
        <w:rPr>
          <w:rFonts w:asciiTheme="majorHAnsi" w:eastAsia="Calibri" w:hAnsiTheme="majorHAnsi" w:cs="MyriadPro-Bold"/>
          <w:b/>
          <w:bCs/>
          <w:sz w:val="22"/>
          <w:szCs w:val="22"/>
          <w:lang w:val="en-GB" w:eastAsia="en-GB"/>
        </w:rPr>
        <w:t xml:space="preserve">Further </w:t>
      </w:r>
      <w:r w:rsidR="000B5F1D" w:rsidRPr="009D7320">
        <w:rPr>
          <w:rFonts w:asciiTheme="majorHAnsi" w:eastAsia="Calibri" w:hAnsiTheme="majorHAnsi" w:cs="MyriadPro-Bold"/>
          <w:b/>
          <w:bCs/>
          <w:sz w:val="22"/>
          <w:szCs w:val="22"/>
          <w:lang w:val="en-GB" w:eastAsia="en-GB"/>
        </w:rPr>
        <w:t>guidance on preparation for the ICA</w:t>
      </w:r>
    </w:p>
    <w:p w:rsidR="00193CF9" w:rsidRPr="009D7320" w:rsidRDefault="00193CF9" w:rsidP="007F7452">
      <w:pPr>
        <w:autoSpaceDE w:val="0"/>
        <w:autoSpaceDN w:val="0"/>
        <w:adjustRightInd w:val="0"/>
        <w:rPr>
          <w:rFonts w:asciiTheme="majorHAnsi" w:eastAsia="Calibri" w:hAnsiTheme="majorHAnsi" w:cs="MyriadPro-Bold"/>
          <w:bCs/>
          <w:sz w:val="22"/>
          <w:szCs w:val="22"/>
          <w:lang w:val="en-GB" w:eastAsia="en-GB"/>
        </w:rPr>
      </w:pPr>
    </w:p>
    <w:p w:rsidR="007F7452" w:rsidRPr="009D7320" w:rsidRDefault="007F7452" w:rsidP="007F7452">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The recently published 2012 report on MDGs progress summarises progress for each Goal </w:t>
      </w:r>
      <w:r w:rsidR="00620192" w:rsidRPr="009D7320">
        <w:rPr>
          <w:rFonts w:asciiTheme="majorHAnsi" w:eastAsia="Calibri" w:hAnsiTheme="majorHAnsi" w:cs="MyriadPro-Bold"/>
          <w:bCs/>
          <w:sz w:val="22"/>
          <w:szCs w:val="22"/>
          <w:lang w:val="en-GB" w:eastAsia="en-GB"/>
        </w:rPr>
        <w:t>by</w:t>
      </w:r>
      <w:r w:rsidRPr="009D7320">
        <w:rPr>
          <w:rFonts w:asciiTheme="majorHAnsi" w:eastAsia="Calibri" w:hAnsiTheme="majorHAnsi" w:cs="MyriadPro-Bold"/>
          <w:bCs/>
          <w:sz w:val="22"/>
          <w:szCs w:val="22"/>
          <w:lang w:val="en-GB" w:eastAsia="en-GB"/>
        </w:rPr>
        <w:t xml:space="preserve"> world region. </w:t>
      </w:r>
    </w:p>
    <w:p w:rsidR="007F7452" w:rsidRPr="009D7320" w:rsidRDefault="007F7452" w:rsidP="007F7452">
      <w:pPr>
        <w:autoSpaceDE w:val="0"/>
        <w:autoSpaceDN w:val="0"/>
        <w:adjustRightInd w:val="0"/>
        <w:rPr>
          <w:rFonts w:asciiTheme="majorHAnsi" w:eastAsia="Calibri" w:hAnsiTheme="majorHAnsi" w:cs="MyriadPro-Bold"/>
          <w:bCs/>
          <w:sz w:val="22"/>
          <w:szCs w:val="22"/>
          <w:lang w:val="en-GB" w:eastAsia="en-GB"/>
        </w:rPr>
      </w:pPr>
    </w:p>
    <w:p w:rsidR="007F7452" w:rsidRPr="009D7320" w:rsidRDefault="009D7320" w:rsidP="007F7452">
      <w:pPr>
        <w:autoSpaceDE w:val="0"/>
        <w:autoSpaceDN w:val="0"/>
        <w:adjustRightInd w:val="0"/>
        <w:rPr>
          <w:rFonts w:asciiTheme="majorHAnsi" w:eastAsia="Calibri" w:hAnsiTheme="majorHAnsi" w:cs="MyriadPro-Bold"/>
          <w:bCs/>
          <w:sz w:val="22"/>
          <w:szCs w:val="22"/>
          <w:lang w:val="en-GB" w:eastAsia="en-GB"/>
        </w:rPr>
      </w:pPr>
      <w:hyperlink r:id="rId16" w:history="1">
        <w:r w:rsidR="007F7452" w:rsidRPr="009D7320">
          <w:rPr>
            <w:rStyle w:val="Hyperlink"/>
            <w:rFonts w:asciiTheme="majorHAnsi" w:eastAsia="Calibri" w:hAnsiTheme="majorHAnsi" w:cs="MyriadPro-Bold"/>
            <w:bCs/>
            <w:sz w:val="22"/>
            <w:szCs w:val="22"/>
            <w:u w:val="none"/>
            <w:lang w:val="en-GB" w:eastAsia="en-GB"/>
          </w:rPr>
          <w:t>http://mdgs.un.org/unsd/mdg/Resources/Static/Products/Progress2012/Progress_E.pdf</w:t>
        </w:r>
      </w:hyperlink>
      <w:r w:rsidR="007F7452" w:rsidRPr="009D7320">
        <w:rPr>
          <w:rFonts w:asciiTheme="majorHAnsi" w:eastAsia="Calibri" w:hAnsiTheme="majorHAnsi" w:cs="MyriadPro-Bold"/>
          <w:bCs/>
          <w:sz w:val="22"/>
          <w:szCs w:val="22"/>
          <w:lang w:val="en-GB" w:eastAsia="en-GB"/>
        </w:rPr>
        <w:t xml:space="preserve"> </w:t>
      </w:r>
    </w:p>
    <w:p w:rsidR="007F7452" w:rsidRPr="009D7320" w:rsidRDefault="007F7452" w:rsidP="007F7452">
      <w:pPr>
        <w:autoSpaceDE w:val="0"/>
        <w:autoSpaceDN w:val="0"/>
        <w:adjustRightInd w:val="0"/>
        <w:rPr>
          <w:rFonts w:asciiTheme="majorHAnsi" w:eastAsia="Calibri" w:hAnsiTheme="majorHAnsi" w:cs="MyriadPro-Bold"/>
          <w:bCs/>
          <w:sz w:val="22"/>
          <w:szCs w:val="22"/>
          <w:lang w:val="en-GB" w:eastAsia="en-GB"/>
        </w:rPr>
      </w:pPr>
    </w:p>
    <w:p w:rsidR="007F7452" w:rsidRPr="009D7320" w:rsidRDefault="007F7452" w:rsidP="007F7452">
      <w:pPr>
        <w:autoSpaceDE w:val="0"/>
        <w:autoSpaceDN w:val="0"/>
        <w:adjustRightInd w:val="0"/>
        <w:rPr>
          <w:rFonts w:asciiTheme="majorHAnsi" w:eastAsia="Calibri" w:hAnsiTheme="majorHAnsi" w:cs="MyriadPro-Bold"/>
          <w:bCs/>
          <w:sz w:val="22"/>
          <w:szCs w:val="22"/>
          <w:lang w:val="en-GB" w:eastAsia="en-GB"/>
        </w:rPr>
      </w:pPr>
    </w:p>
    <w:p w:rsidR="00863C1D" w:rsidRPr="009D7320" w:rsidRDefault="00AE4C0F">
      <w:pPr>
        <w:rPr>
          <w:rFonts w:eastAsia="Calibri"/>
          <w:lang w:val="en-GB" w:eastAsia="en-GB"/>
        </w:rPr>
      </w:pPr>
      <w:r w:rsidRPr="009D7320">
        <w:rPr>
          <w:rFonts w:eastAsia="Calibri"/>
          <w:lang w:val="en-GB" w:eastAsia="en-GB"/>
        </w:rPr>
        <w:t xml:space="preserve">We </w:t>
      </w:r>
      <w:r w:rsidR="008777B8" w:rsidRPr="009D7320">
        <w:rPr>
          <w:rFonts w:eastAsia="Calibri"/>
          <w:lang w:val="en-GB" w:eastAsia="en-GB"/>
        </w:rPr>
        <w:t>encourage</w:t>
      </w:r>
      <w:r w:rsidRPr="009D7320">
        <w:rPr>
          <w:rFonts w:eastAsia="Calibri"/>
          <w:lang w:val="en-GB" w:eastAsia="en-GB"/>
        </w:rPr>
        <w:t xml:space="preserve"> you to </w:t>
      </w:r>
      <w:r w:rsidR="008777B8" w:rsidRPr="009D7320">
        <w:rPr>
          <w:rFonts w:eastAsia="Calibri"/>
          <w:lang w:val="en-GB" w:eastAsia="en-GB"/>
        </w:rPr>
        <w:t xml:space="preserve">consider the </w:t>
      </w:r>
      <w:r w:rsidR="0070077F" w:rsidRPr="009D7320">
        <w:rPr>
          <w:rFonts w:eastAsia="Calibri"/>
          <w:lang w:val="en-GB" w:eastAsia="en-GB"/>
        </w:rPr>
        <w:t>current debates about UN</w:t>
      </w:r>
      <w:r w:rsidR="004F24E5" w:rsidRPr="009D7320">
        <w:rPr>
          <w:rFonts w:eastAsia="Calibri"/>
          <w:lang w:val="en-GB" w:eastAsia="en-GB"/>
        </w:rPr>
        <w:t xml:space="preserve"> D</w:t>
      </w:r>
      <w:r w:rsidR="008777B8" w:rsidRPr="009D7320">
        <w:rPr>
          <w:rFonts w:eastAsia="Calibri"/>
          <w:lang w:val="en-GB" w:eastAsia="en-GB"/>
        </w:rPr>
        <w:t xml:space="preserve">evelopment Goals and to adopt a </w:t>
      </w:r>
      <w:r w:rsidRPr="009D7320">
        <w:rPr>
          <w:rFonts w:eastAsia="Calibri"/>
          <w:lang w:val="en-GB" w:eastAsia="en-GB"/>
        </w:rPr>
        <w:t>critical approach to the MDG initiative</w:t>
      </w:r>
      <w:r w:rsidR="008777B8" w:rsidRPr="009D7320">
        <w:rPr>
          <w:rFonts w:eastAsia="Calibri"/>
          <w:lang w:val="en-GB" w:eastAsia="en-GB"/>
        </w:rPr>
        <w:t xml:space="preserve"> </w:t>
      </w:r>
      <w:r w:rsidR="004F24E5" w:rsidRPr="009D7320">
        <w:rPr>
          <w:rFonts w:eastAsia="Calibri"/>
          <w:lang w:val="en-GB" w:eastAsia="en-GB"/>
        </w:rPr>
        <w:t>with specific reference to</w:t>
      </w:r>
      <w:r w:rsidR="008777B8" w:rsidRPr="009D7320">
        <w:rPr>
          <w:rFonts w:eastAsia="Calibri"/>
          <w:lang w:val="en-GB" w:eastAsia="en-GB"/>
        </w:rPr>
        <w:t xml:space="preserve"> the MDG allocate</w:t>
      </w:r>
      <w:r w:rsidR="004F24E5" w:rsidRPr="009D7320">
        <w:rPr>
          <w:rFonts w:eastAsia="Calibri"/>
          <w:lang w:val="en-GB" w:eastAsia="en-GB"/>
        </w:rPr>
        <w:t>d</w:t>
      </w:r>
      <w:r w:rsidR="008777B8" w:rsidRPr="009D7320">
        <w:rPr>
          <w:rFonts w:eastAsia="Calibri"/>
          <w:lang w:val="en-GB" w:eastAsia="en-GB"/>
        </w:rPr>
        <w:t xml:space="preserve"> to your group. </w:t>
      </w:r>
    </w:p>
    <w:p w:rsidR="00AE4C0F" w:rsidRPr="009D7320" w:rsidRDefault="00AE4C0F">
      <w:pPr>
        <w:rPr>
          <w:rFonts w:eastAsia="Calibri"/>
          <w:lang w:val="en-GB" w:eastAsia="en-GB"/>
        </w:rPr>
      </w:pPr>
    </w:p>
    <w:p w:rsidR="00AE4C0F" w:rsidRPr="009D7320" w:rsidRDefault="00AE4C0F">
      <w:pPr>
        <w:rPr>
          <w:rFonts w:eastAsia="Calibri"/>
          <w:lang w:val="en-GB" w:eastAsia="en-GB"/>
        </w:rPr>
      </w:pPr>
      <w:r w:rsidRPr="009D7320">
        <w:rPr>
          <w:rFonts w:eastAsia="Calibri"/>
          <w:lang w:val="en-GB" w:eastAsia="en-GB"/>
        </w:rPr>
        <w:t xml:space="preserve">Below are some texts which introduce you to the critique of MDGs. </w:t>
      </w:r>
    </w:p>
    <w:p w:rsidR="00AE4C0F" w:rsidRPr="009D7320" w:rsidRDefault="00AE4C0F">
      <w:pPr>
        <w:rPr>
          <w:rFonts w:eastAsia="Calibri"/>
          <w:lang w:val="en-GB" w:eastAsia="en-GB"/>
        </w:rPr>
      </w:pPr>
    </w:p>
    <w:p w:rsidR="006820C9" w:rsidRPr="009D7320" w:rsidRDefault="006820C9">
      <w:pPr>
        <w:rPr>
          <w:rFonts w:eastAsia="Calibri"/>
          <w:lang w:val="en-GB" w:eastAsia="en-GB"/>
        </w:rPr>
      </w:pPr>
      <w:r w:rsidRPr="009D7320">
        <w:rPr>
          <w:rFonts w:eastAsia="Calibri"/>
          <w:lang w:val="en-GB" w:eastAsia="en-GB"/>
        </w:rPr>
        <w:t>The MDGs have been praised and criticised at length.</w:t>
      </w:r>
      <w:r w:rsidR="00D20D37" w:rsidRPr="009D7320">
        <w:rPr>
          <w:rFonts w:eastAsia="Calibri"/>
          <w:lang w:val="en-GB" w:eastAsia="en-GB"/>
        </w:rPr>
        <w:t xml:space="preserve"> T</w:t>
      </w:r>
      <w:r w:rsidRPr="009D7320">
        <w:rPr>
          <w:rFonts w:eastAsia="Calibri"/>
          <w:lang w:val="en-GB" w:eastAsia="en-GB"/>
        </w:rPr>
        <w:t>he UN strategy for the next decade</w:t>
      </w:r>
      <w:r w:rsidR="00D20D37" w:rsidRPr="009D7320">
        <w:rPr>
          <w:rFonts w:eastAsia="Calibri"/>
          <w:lang w:val="en-GB" w:eastAsia="en-GB"/>
        </w:rPr>
        <w:t xml:space="preserve"> was defined at the UN Conference on Sustainable Development (Rio+20) in June</w:t>
      </w:r>
      <w:r w:rsidR="00875155" w:rsidRPr="009D7320">
        <w:rPr>
          <w:rFonts w:eastAsia="Calibri"/>
          <w:lang w:val="en-GB" w:eastAsia="en-GB"/>
        </w:rPr>
        <w:t xml:space="preserve"> </w:t>
      </w:r>
      <w:r w:rsidR="00D20D37" w:rsidRPr="009D7320">
        <w:rPr>
          <w:rFonts w:eastAsia="Calibri"/>
          <w:lang w:val="en-GB" w:eastAsia="en-GB"/>
        </w:rPr>
        <w:t>2012</w:t>
      </w:r>
      <w:r w:rsidRPr="009D7320">
        <w:rPr>
          <w:rFonts w:eastAsia="Calibri"/>
          <w:lang w:val="en-GB" w:eastAsia="en-GB"/>
        </w:rPr>
        <w:t xml:space="preserve">. </w:t>
      </w:r>
      <w:r w:rsidR="00875155" w:rsidRPr="009D7320">
        <w:rPr>
          <w:rFonts w:eastAsia="Calibri"/>
          <w:lang w:val="en-GB" w:eastAsia="en-GB"/>
        </w:rPr>
        <w:t>For t</w:t>
      </w:r>
      <w:r w:rsidRPr="009D7320">
        <w:rPr>
          <w:rFonts w:eastAsia="Calibri"/>
          <w:lang w:val="en-GB" w:eastAsia="en-GB"/>
        </w:rPr>
        <w:t>he new set of UN development goals, named the SDGs,</w:t>
      </w:r>
      <w:r w:rsidR="00875155" w:rsidRPr="009D7320">
        <w:rPr>
          <w:rFonts w:eastAsia="Calibri"/>
          <w:lang w:val="en-GB" w:eastAsia="en-GB"/>
        </w:rPr>
        <w:t xml:space="preserve"> </w:t>
      </w:r>
      <w:r w:rsidRPr="009D7320">
        <w:rPr>
          <w:rFonts w:eastAsia="Calibri"/>
          <w:lang w:val="en-GB" w:eastAsia="en-GB"/>
        </w:rPr>
        <w:t xml:space="preserve"> </w:t>
      </w:r>
      <w:r w:rsidR="00875155" w:rsidRPr="009D7320">
        <w:rPr>
          <w:rFonts w:eastAsia="Calibri"/>
          <w:lang w:val="en-GB" w:eastAsia="en-GB"/>
        </w:rPr>
        <w:t xml:space="preserve">the focus </w:t>
      </w:r>
      <w:r w:rsidRPr="009D7320">
        <w:rPr>
          <w:rFonts w:eastAsia="Calibri"/>
          <w:lang w:val="en-GB" w:eastAsia="en-GB"/>
        </w:rPr>
        <w:t>has been</w:t>
      </w:r>
      <w:r w:rsidR="00875155" w:rsidRPr="009D7320">
        <w:rPr>
          <w:rFonts w:eastAsia="Calibri"/>
          <w:lang w:val="en-GB" w:eastAsia="en-GB"/>
        </w:rPr>
        <w:t xml:space="preserve"> largely moved away from </w:t>
      </w:r>
      <w:r w:rsidR="00875155" w:rsidRPr="009D7320">
        <w:rPr>
          <w:rFonts w:eastAsia="Calibri"/>
          <w:i/>
          <w:lang w:val="en-GB" w:eastAsia="en-GB"/>
        </w:rPr>
        <w:t>health</w:t>
      </w:r>
      <w:r w:rsidR="00875155" w:rsidRPr="009D7320">
        <w:rPr>
          <w:rFonts w:eastAsia="Calibri"/>
          <w:lang w:val="en-GB" w:eastAsia="en-GB"/>
        </w:rPr>
        <w:t xml:space="preserve">, and </w:t>
      </w:r>
      <w:r w:rsidRPr="009D7320">
        <w:rPr>
          <w:rFonts w:eastAsia="Calibri"/>
          <w:lang w:val="en-GB" w:eastAsia="en-GB"/>
        </w:rPr>
        <w:t xml:space="preserve">towards </w:t>
      </w:r>
      <w:r w:rsidRPr="009D7320">
        <w:rPr>
          <w:rFonts w:eastAsia="Calibri"/>
          <w:i/>
          <w:lang w:val="en-GB" w:eastAsia="en-GB"/>
        </w:rPr>
        <w:t>sustainability</w:t>
      </w:r>
      <w:r w:rsidRPr="009D7320">
        <w:rPr>
          <w:rFonts w:eastAsia="Calibri"/>
          <w:lang w:val="en-GB" w:eastAsia="en-GB"/>
        </w:rPr>
        <w:t xml:space="preserve">.  </w:t>
      </w:r>
      <w:r w:rsidR="006A343F" w:rsidRPr="009D7320">
        <w:rPr>
          <w:rFonts w:eastAsia="Calibri"/>
          <w:lang w:val="en-GB" w:eastAsia="en-GB"/>
        </w:rPr>
        <w:t xml:space="preserve">Some critics </w:t>
      </w:r>
      <w:r w:rsidR="00875155" w:rsidRPr="009D7320">
        <w:rPr>
          <w:rFonts w:eastAsia="Calibri"/>
          <w:lang w:val="en-GB" w:eastAsia="en-GB"/>
        </w:rPr>
        <w:t>question the validity and utility of the</w:t>
      </w:r>
      <w:r w:rsidR="006A343F" w:rsidRPr="009D7320">
        <w:rPr>
          <w:rFonts w:eastAsia="Calibri"/>
          <w:lang w:val="en-GB" w:eastAsia="en-GB"/>
        </w:rPr>
        <w:t xml:space="preserve"> MDG measurements </w:t>
      </w:r>
      <w:r w:rsidR="00875155" w:rsidRPr="009D7320">
        <w:rPr>
          <w:rFonts w:eastAsia="Calibri"/>
          <w:lang w:val="en-GB" w:eastAsia="en-GB"/>
        </w:rPr>
        <w:t>for monitoring</w:t>
      </w:r>
      <w:r w:rsidR="006A343F" w:rsidRPr="009D7320">
        <w:rPr>
          <w:rFonts w:eastAsia="Calibri"/>
          <w:lang w:val="en-GB" w:eastAsia="en-GB"/>
        </w:rPr>
        <w:t xml:space="preserve"> specific countries’ progress (see Vandemoortele 2009). </w:t>
      </w:r>
    </w:p>
    <w:p w:rsidR="006820C9" w:rsidRPr="009D7320" w:rsidRDefault="006820C9">
      <w:pPr>
        <w:rPr>
          <w:rFonts w:eastAsia="Calibri"/>
          <w:lang w:val="en-GB" w:eastAsia="en-GB"/>
        </w:rPr>
      </w:pPr>
    </w:p>
    <w:p w:rsidR="005F06AE" w:rsidRPr="009D7320" w:rsidRDefault="006A343F">
      <w:pPr>
        <w:rPr>
          <w:rFonts w:eastAsia="Calibri"/>
          <w:lang w:val="en-GB" w:eastAsia="en-GB"/>
        </w:rPr>
      </w:pPr>
      <w:r w:rsidRPr="009D7320">
        <w:rPr>
          <w:rFonts w:eastAsia="Calibri"/>
          <w:lang w:val="en-GB" w:eastAsia="en-GB"/>
        </w:rPr>
        <w:t xml:space="preserve">Do you think the MDGs initiative </w:t>
      </w:r>
      <w:r w:rsidR="005F06AE" w:rsidRPr="009D7320">
        <w:rPr>
          <w:rFonts w:eastAsia="Calibri"/>
          <w:lang w:val="en-GB" w:eastAsia="en-GB"/>
        </w:rPr>
        <w:t>is valid and</w:t>
      </w:r>
      <w:r w:rsidRPr="009D7320">
        <w:rPr>
          <w:rFonts w:eastAsia="Calibri"/>
          <w:lang w:val="en-GB" w:eastAsia="en-GB"/>
        </w:rPr>
        <w:t xml:space="preserve"> useful? The MDG you are studying may be a useful illustration for these questions. </w:t>
      </w:r>
    </w:p>
    <w:p w:rsidR="006820C9" w:rsidRPr="009D7320" w:rsidRDefault="006820C9">
      <w:pPr>
        <w:rPr>
          <w:rFonts w:eastAsia="Calibri"/>
          <w:lang w:val="en-GB" w:eastAsia="en-GB"/>
        </w:rPr>
      </w:pPr>
    </w:p>
    <w:p w:rsidR="008666CE" w:rsidRPr="009D7320" w:rsidRDefault="008666CE">
      <w:pPr>
        <w:rPr>
          <w:rFonts w:eastAsia="Calibri"/>
          <w:lang w:val="en-GB" w:eastAsia="en-GB"/>
        </w:rPr>
      </w:pPr>
      <w:r w:rsidRPr="009D7320">
        <w:rPr>
          <w:rFonts w:eastAsia="Calibri"/>
          <w:lang w:val="en-GB" w:eastAsia="en-GB"/>
        </w:rPr>
        <w:t xml:space="preserve">Some questions you may wish to think about in your group work include: </w:t>
      </w:r>
    </w:p>
    <w:p w:rsidR="006820C9" w:rsidRPr="009D7320" w:rsidRDefault="006820C9" w:rsidP="008666CE">
      <w:pPr>
        <w:pStyle w:val="ListParagraph"/>
        <w:numPr>
          <w:ilvl w:val="0"/>
          <w:numId w:val="23"/>
        </w:numPr>
        <w:rPr>
          <w:rFonts w:eastAsia="Calibri"/>
          <w:lang w:val="en-GB" w:eastAsia="en-GB"/>
        </w:rPr>
      </w:pPr>
      <w:r w:rsidRPr="009D7320">
        <w:rPr>
          <w:rFonts w:eastAsia="Calibri"/>
          <w:lang w:val="en-GB" w:eastAsia="en-GB"/>
        </w:rPr>
        <w:t xml:space="preserve">What lessons can be learnt from the MDGs initiative? What successes and </w:t>
      </w:r>
      <w:r w:rsidR="001865BD" w:rsidRPr="009D7320">
        <w:rPr>
          <w:rFonts w:eastAsia="Calibri"/>
          <w:lang w:val="en-GB" w:eastAsia="en-GB"/>
        </w:rPr>
        <w:t>s</w:t>
      </w:r>
      <w:r w:rsidRPr="009D7320">
        <w:rPr>
          <w:rFonts w:eastAsia="Calibri"/>
          <w:lang w:val="en-GB" w:eastAsia="en-GB"/>
        </w:rPr>
        <w:t xml:space="preserve">hortfalls can inform future initiatives? (see Sachs 2012). </w:t>
      </w:r>
    </w:p>
    <w:p w:rsidR="008666CE" w:rsidRPr="009D7320" w:rsidRDefault="008666CE" w:rsidP="008666CE">
      <w:pPr>
        <w:pStyle w:val="ListParagraph"/>
        <w:numPr>
          <w:ilvl w:val="0"/>
          <w:numId w:val="23"/>
        </w:numPr>
        <w:rPr>
          <w:rFonts w:eastAsia="Calibri"/>
          <w:lang w:val="en-GB" w:eastAsia="en-GB"/>
        </w:rPr>
      </w:pPr>
      <w:r w:rsidRPr="009D7320">
        <w:rPr>
          <w:rFonts w:eastAsia="Calibri"/>
          <w:lang w:val="en-GB" w:eastAsia="en-GB"/>
        </w:rPr>
        <w:t xml:space="preserve">Was the goal you considered </w:t>
      </w:r>
      <w:r w:rsidR="00DA41FD" w:rsidRPr="009D7320">
        <w:rPr>
          <w:rFonts w:eastAsia="Calibri"/>
          <w:lang w:val="en-GB" w:eastAsia="en-GB"/>
        </w:rPr>
        <w:t xml:space="preserve">and </w:t>
      </w:r>
      <w:r w:rsidRPr="009D7320">
        <w:rPr>
          <w:rFonts w:eastAsia="Calibri"/>
          <w:lang w:val="en-GB" w:eastAsia="en-GB"/>
        </w:rPr>
        <w:t>appropriate</w:t>
      </w:r>
      <w:r w:rsidR="00DA41FD" w:rsidRPr="009D7320">
        <w:rPr>
          <w:rFonts w:eastAsia="Calibri"/>
          <w:lang w:val="en-GB" w:eastAsia="en-GB"/>
        </w:rPr>
        <w:t xml:space="preserve"> goal in the current global context</w:t>
      </w:r>
      <w:r w:rsidRPr="009D7320">
        <w:rPr>
          <w:rFonts w:eastAsia="Calibri"/>
          <w:lang w:val="en-GB" w:eastAsia="en-GB"/>
        </w:rPr>
        <w:t xml:space="preserve">? </w:t>
      </w:r>
    </w:p>
    <w:p w:rsidR="008666CE" w:rsidRPr="009D7320" w:rsidRDefault="008666CE" w:rsidP="008666CE">
      <w:pPr>
        <w:pStyle w:val="ListParagraph"/>
        <w:numPr>
          <w:ilvl w:val="0"/>
          <w:numId w:val="23"/>
        </w:numPr>
        <w:rPr>
          <w:rFonts w:eastAsia="Calibri"/>
          <w:lang w:val="en-GB" w:eastAsia="en-GB"/>
        </w:rPr>
      </w:pPr>
      <w:r w:rsidRPr="009D7320">
        <w:rPr>
          <w:rFonts w:eastAsia="Calibri"/>
          <w:lang w:val="en-GB" w:eastAsia="en-GB"/>
        </w:rPr>
        <w:t>Were the</w:t>
      </w:r>
      <w:r w:rsidR="00DA41FD" w:rsidRPr="009D7320">
        <w:rPr>
          <w:rFonts w:eastAsia="Calibri"/>
          <w:lang w:val="en-GB" w:eastAsia="en-GB"/>
        </w:rPr>
        <w:t xml:space="preserve"> measures and</w:t>
      </w:r>
      <w:r w:rsidRPr="009D7320">
        <w:rPr>
          <w:rFonts w:eastAsia="Calibri"/>
          <w:lang w:val="en-GB" w:eastAsia="en-GB"/>
        </w:rPr>
        <w:t xml:space="preserve"> targets chosen to </w:t>
      </w:r>
      <w:r w:rsidR="001865BD" w:rsidRPr="009D7320">
        <w:rPr>
          <w:rFonts w:eastAsia="Calibri"/>
          <w:lang w:val="en-GB" w:eastAsia="en-GB"/>
        </w:rPr>
        <w:t>monitor</w:t>
      </w:r>
      <w:r w:rsidRPr="009D7320">
        <w:rPr>
          <w:rFonts w:eastAsia="Calibri"/>
          <w:lang w:val="en-GB" w:eastAsia="en-GB"/>
        </w:rPr>
        <w:t xml:space="preserve"> this goal suitable? </w:t>
      </w:r>
    </w:p>
    <w:p w:rsidR="00AE4C0F" w:rsidRPr="009D7320" w:rsidRDefault="00AE4C0F">
      <w:pPr>
        <w:rPr>
          <w:rFonts w:eastAsia="Calibri"/>
          <w:lang w:val="en-GB" w:eastAsia="en-GB"/>
        </w:rPr>
      </w:pPr>
    </w:p>
    <w:p w:rsidR="004358B3" w:rsidRPr="009D7320" w:rsidRDefault="004358B3">
      <w:pPr>
        <w:rPr>
          <w:rFonts w:eastAsia="Calibri"/>
          <w:i/>
          <w:lang w:val="en-GB" w:eastAsia="en-GB"/>
        </w:rPr>
      </w:pPr>
      <w:r w:rsidRPr="009D7320">
        <w:rPr>
          <w:rFonts w:eastAsia="Calibri"/>
          <w:i/>
          <w:lang w:val="en-GB" w:eastAsia="en-GB"/>
        </w:rPr>
        <w:t>Readings for the ICA</w:t>
      </w:r>
    </w:p>
    <w:p w:rsidR="004358B3" w:rsidRPr="009D7320" w:rsidRDefault="004358B3">
      <w:pPr>
        <w:rPr>
          <w:rFonts w:eastAsia="Calibri"/>
          <w:lang w:val="en-GB" w:eastAsia="en-GB"/>
        </w:rPr>
      </w:pP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Hulme, D. (2010). IDS Bulletin, Volume 41. Number 1. Lessons from the Making of the MDGs: Human Development Meets Results-based Management in an Unfair World. Blackwell Publishing Limited. Accessible at: </w:t>
      </w:r>
      <w:hyperlink r:id="rId17" w:history="1">
        <w:r w:rsidRPr="009D7320">
          <w:rPr>
            <w:rStyle w:val="Hyperlink"/>
            <w:rFonts w:asciiTheme="majorHAnsi" w:eastAsia="Calibri" w:hAnsiTheme="majorHAnsi" w:cs="MyriadPro-Bold"/>
            <w:bCs/>
            <w:sz w:val="22"/>
            <w:szCs w:val="22"/>
            <w:u w:val="none"/>
            <w:lang w:val="en-GB" w:eastAsia="en-GB"/>
          </w:rPr>
          <w:t>http://onlinelibrary.wiley.com/doi/10.1111/j.1759-5436.2010.00099.x/pdf</w:t>
        </w:r>
      </w:hyperlink>
      <w:r w:rsidRPr="009D7320">
        <w:rPr>
          <w:rFonts w:asciiTheme="majorHAnsi" w:eastAsia="Calibri" w:hAnsiTheme="majorHAnsi" w:cs="MyriadPro-Bold"/>
          <w:bCs/>
          <w:sz w:val="22"/>
          <w:szCs w:val="22"/>
          <w:lang w:val="en-GB" w:eastAsia="en-GB"/>
        </w:rPr>
        <w:t xml:space="preserve"> </w:t>
      </w: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Sachs JD (2012). From Millennium Development Goals to Sustainable Development Goals, The Lancet 379(9832): 2206-2211. Accessible at: (http://www.sciencedirect.com/science/article/pii/S0140673612606850)</w:t>
      </w: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p>
    <w:p w:rsidR="004358B3" w:rsidRPr="009D7320" w:rsidRDefault="004358B3" w:rsidP="004358B3">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Vandemoortele, J. (2009). Development Policy Review. 27 (4): 355-371. The MDG Conundrum: Meeting the Targets Without Missing the Point. Blackwell Publishing. Accessible from: </w:t>
      </w:r>
      <w:hyperlink r:id="rId18" w:history="1">
        <w:r w:rsidRPr="009D7320">
          <w:rPr>
            <w:rStyle w:val="Hyperlink"/>
            <w:rFonts w:asciiTheme="majorHAnsi" w:eastAsia="Calibri" w:hAnsiTheme="majorHAnsi" w:cs="MyriadPro-Bold"/>
            <w:bCs/>
            <w:sz w:val="22"/>
            <w:szCs w:val="22"/>
            <w:u w:val="none"/>
            <w:lang w:val="en-GB" w:eastAsia="en-GB"/>
          </w:rPr>
          <w:t>http://www.chagghana.org/chag/assets/files/Vandermoortele_2009_MDGs[1].pdf</w:t>
        </w:r>
      </w:hyperlink>
      <w:r w:rsidRPr="009D7320">
        <w:rPr>
          <w:rFonts w:asciiTheme="majorHAnsi" w:eastAsia="Calibri" w:hAnsiTheme="majorHAnsi" w:cs="MyriadPro-Bold"/>
          <w:bCs/>
          <w:sz w:val="22"/>
          <w:szCs w:val="22"/>
          <w:lang w:val="en-GB" w:eastAsia="en-GB"/>
        </w:rPr>
        <w:t xml:space="preserve"> </w:t>
      </w:r>
    </w:p>
    <w:p w:rsidR="004358B3" w:rsidRPr="009D7320" w:rsidRDefault="004358B3">
      <w:pPr>
        <w:rPr>
          <w:rFonts w:eastAsia="Calibri"/>
          <w:lang w:val="en-GB" w:eastAsia="en-GB"/>
        </w:rPr>
      </w:pPr>
    </w:p>
    <w:p w:rsidR="004358B3" w:rsidRPr="009D7320" w:rsidRDefault="004358B3">
      <w:pPr>
        <w:rPr>
          <w:rFonts w:eastAsia="Calibri"/>
          <w:lang w:val="en-GB" w:eastAsia="en-GB"/>
        </w:rPr>
      </w:pPr>
    </w:p>
    <w:p w:rsidR="00C01D65" w:rsidRPr="009D7320" w:rsidRDefault="00C01D65">
      <w:pPr>
        <w:rPr>
          <w:rFonts w:eastAsia="Calibri"/>
          <w:b/>
          <w:lang w:val="en-GB" w:eastAsia="en-GB"/>
        </w:rPr>
      </w:pPr>
      <w:r w:rsidRPr="009D7320">
        <w:rPr>
          <w:rFonts w:eastAsia="Calibri"/>
          <w:b/>
          <w:lang w:val="en-GB" w:eastAsia="en-GB"/>
        </w:rPr>
        <w:lastRenderedPageBreak/>
        <w:t>Prerequisite skills</w:t>
      </w:r>
    </w:p>
    <w:p w:rsidR="00C01D65" w:rsidRPr="009D7320" w:rsidRDefault="00C01D65">
      <w:pPr>
        <w:rPr>
          <w:rFonts w:eastAsia="Calibri"/>
          <w:lang w:val="en-GB" w:eastAsia="en-GB"/>
        </w:rPr>
      </w:pPr>
    </w:p>
    <w:p w:rsidR="00C01D65" w:rsidRPr="009D7320" w:rsidRDefault="00C01D65">
      <w:pPr>
        <w:rPr>
          <w:rFonts w:eastAsia="Calibri"/>
          <w:lang w:val="en-GB" w:eastAsia="en-GB"/>
        </w:rPr>
      </w:pPr>
      <w:r w:rsidRPr="009D7320">
        <w:rPr>
          <w:rFonts w:eastAsia="Calibri"/>
          <w:lang w:val="en-GB" w:eastAsia="en-GB"/>
        </w:rPr>
        <w:t xml:space="preserve">In order to complete this module, </w:t>
      </w:r>
      <w:r w:rsidR="00F1132F" w:rsidRPr="009D7320">
        <w:rPr>
          <w:rFonts w:eastAsia="Calibri"/>
          <w:lang w:val="en-GB" w:eastAsia="en-GB"/>
        </w:rPr>
        <w:t xml:space="preserve">you </w:t>
      </w:r>
      <w:r w:rsidRPr="009D7320">
        <w:rPr>
          <w:rFonts w:eastAsia="Calibri"/>
          <w:lang w:val="en-GB" w:eastAsia="en-GB"/>
        </w:rPr>
        <w:t xml:space="preserve">will be expected to have a prior basic understanding of statistical methods. Depending on your </w:t>
      </w:r>
      <w:r w:rsidR="009127DE" w:rsidRPr="009D7320">
        <w:rPr>
          <w:rFonts w:eastAsia="Calibri"/>
          <w:lang w:val="en-GB" w:eastAsia="en-GB"/>
        </w:rPr>
        <w:t>background</w:t>
      </w:r>
      <w:r w:rsidRPr="009D7320">
        <w:rPr>
          <w:rFonts w:eastAsia="Calibri"/>
          <w:lang w:val="en-GB" w:eastAsia="en-GB"/>
        </w:rPr>
        <w:t xml:space="preserve">, you may have covered this at different times in your previous undergraduate years. </w:t>
      </w:r>
    </w:p>
    <w:p w:rsidR="00C01D65" w:rsidRPr="009D7320" w:rsidRDefault="00C01D65">
      <w:pPr>
        <w:rPr>
          <w:rFonts w:eastAsia="Calibri"/>
          <w:lang w:val="en-GB" w:eastAsia="en-GB"/>
        </w:rPr>
      </w:pPr>
    </w:p>
    <w:p w:rsidR="00C01D65" w:rsidRPr="009D7320" w:rsidRDefault="00C01D65">
      <w:pPr>
        <w:rPr>
          <w:rFonts w:eastAsia="Calibri"/>
          <w:lang w:val="en-GB" w:eastAsia="en-GB"/>
        </w:rPr>
      </w:pPr>
      <w:r w:rsidRPr="009D7320">
        <w:rPr>
          <w:rFonts w:eastAsia="Calibri"/>
          <w:lang w:val="en-GB" w:eastAsia="en-GB"/>
        </w:rPr>
        <w:t>What will we expect you to be familiar with</w:t>
      </w:r>
      <w:r w:rsidR="009127DE" w:rsidRPr="009D7320">
        <w:rPr>
          <w:rFonts w:eastAsia="Calibri"/>
          <w:lang w:val="en-GB" w:eastAsia="en-GB"/>
        </w:rPr>
        <w:t xml:space="preserve"> by the end of the Introductory Module</w:t>
      </w:r>
      <w:r w:rsidRPr="009D7320">
        <w:rPr>
          <w:rFonts w:eastAsia="Calibri"/>
          <w:lang w:val="en-GB" w:eastAsia="en-GB"/>
        </w:rPr>
        <w:t xml:space="preserve">? </w:t>
      </w:r>
    </w:p>
    <w:p w:rsidR="00C01D65" w:rsidRPr="009D7320" w:rsidRDefault="00C01D65">
      <w:pPr>
        <w:rPr>
          <w:rFonts w:eastAsia="Calibri"/>
          <w:lang w:val="en-GB" w:eastAsia="en-GB"/>
        </w:rPr>
      </w:pPr>
    </w:p>
    <w:p w:rsidR="00F1132F" w:rsidRPr="009D7320" w:rsidRDefault="00A7189B">
      <w:pPr>
        <w:rPr>
          <w:rFonts w:eastAsia="Calibri"/>
          <w:lang w:val="en-GB" w:eastAsia="en-GB"/>
        </w:rPr>
      </w:pPr>
      <w:r w:rsidRPr="009D7320">
        <w:rPr>
          <w:rFonts w:eastAsia="Calibri"/>
          <w:lang w:val="en-GB" w:eastAsia="en-GB"/>
        </w:rPr>
        <w:t>Can you explain what a p-</w:t>
      </w:r>
      <w:r w:rsidR="00C01D65" w:rsidRPr="009D7320">
        <w:rPr>
          <w:rFonts w:eastAsia="Calibri"/>
          <w:lang w:val="en-GB" w:eastAsia="en-GB"/>
        </w:rPr>
        <w:t xml:space="preserve">value is? Can you calculate and interpret a Confidence Interval?  </w:t>
      </w:r>
      <w:r w:rsidRPr="009D7320">
        <w:rPr>
          <w:rFonts w:eastAsia="Calibri"/>
          <w:lang w:val="en-GB" w:eastAsia="en-GB"/>
        </w:rPr>
        <w:t>Are you familiar with significance testing?</w:t>
      </w:r>
      <w:r w:rsidR="005958D9" w:rsidRPr="009D7320">
        <w:rPr>
          <w:rFonts w:eastAsia="Calibri"/>
          <w:lang w:val="en-GB" w:eastAsia="en-GB"/>
        </w:rPr>
        <w:t xml:space="preserve"> Can you explain the difference between significance and power? </w:t>
      </w:r>
    </w:p>
    <w:p w:rsidR="00F1132F" w:rsidRPr="009D7320" w:rsidRDefault="00F1132F">
      <w:pPr>
        <w:rPr>
          <w:rFonts w:eastAsia="Calibri"/>
          <w:lang w:val="en-GB" w:eastAsia="en-GB"/>
        </w:rPr>
      </w:pPr>
    </w:p>
    <w:p w:rsidR="00F1132F" w:rsidRPr="009D7320" w:rsidRDefault="00F1132F">
      <w:pPr>
        <w:rPr>
          <w:rFonts w:eastAsia="Calibri"/>
          <w:lang w:val="en-GB" w:eastAsia="en-GB"/>
        </w:rPr>
      </w:pPr>
      <w:r w:rsidRPr="009D7320">
        <w:rPr>
          <w:rFonts w:eastAsia="Calibri"/>
          <w:lang w:val="en-GB" w:eastAsia="en-GB"/>
        </w:rPr>
        <w:t>If you are not feeling entirely clear on any of these concepts</w:t>
      </w:r>
      <w:r w:rsidR="0095070B" w:rsidRPr="009D7320">
        <w:rPr>
          <w:rFonts w:eastAsia="Calibri"/>
          <w:lang w:val="en-GB" w:eastAsia="en-GB"/>
        </w:rPr>
        <w:t>, then we advise you to use the</w:t>
      </w:r>
      <w:r w:rsidRPr="009D7320">
        <w:rPr>
          <w:rFonts w:eastAsia="Calibri"/>
          <w:lang w:val="en-GB" w:eastAsia="en-GB"/>
        </w:rPr>
        <w:t xml:space="preserve"> Self Directed Learning time in the Introductory Module to review these. You will find plenty of basic textbooks on Basic Statistics for Epidemiology. </w:t>
      </w:r>
      <w:r w:rsidR="0095070B" w:rsidRPr="009D7320">
        <w:rPr>
          <w:rFonts w:eastAsia="Calibri"/>
          <w:lang w:val="en-GB" w:eastAsia="en-GB"/>
        </w:rPr>
        <w:t xml:space="preserve">One of these is the free online text by Neil Pearce: </w:t>
      </w:r>
    </w:p>
    <w:p w:rsidR="0095070B" w:rsidRPr="009D7320" w:rsidRDefault="0095070B">
      <w:pPr>
        <w:rPr>
          <w:rFonts w:eastAsia="Calibri"/>
          <w:lang w:val="en-GB" w:eastAsia="en-GB"/>
        </w:rPr>
      </w:pPr>
    </w:p>
    <w:p w:rsidR="0095070B" w:rsidRPr="009D7320" w:rsidRDefault="0095070B" w:rsidP="004358B3">
      <w:pPr>
        <w:autoSpaceDE w:val="0"/>
        <w:autoSpaceDN w:val="0"/>
        <w:adjustRightInd w:val="0"/>
        <w:ind w:left="720"/>
        <w:jc w:val="both"/>
        <w:rPr>
          <w:rFonts w:asciiTheme="minorHAnsi" w:hAnsiTheme="minorHAnsi" w:cstheme="minorHAnsi"/>
        </w:rPr>
      </w:pPr>
      <w:r w:rsidRPr="009D7320">
        <w:rPr>
          <w:rFonts w:asciiTheme="minorHAnsi" w:hAnsiTheme="minorHAnsi" w:cstheme="minorHAnsi"/>
        </w:rPr>
        <w:t xml:space="preserve">Neil Pearce, Handbook of Epidemiology - can be downloaded free </w:t>
      </w:r>
      <w:hyperlink r:id="rId19" w:history="1">
        <w:r w:rsidRPr="009D7320">
          <w:rPr>
            <w:rStyle w:val="Hyperlink"/>
            <w:rFonts w:asciiTheme="minorHAnsi" w:hAnsiTheme="minorHAnsi" w:cstheme="minorHAnsi"/>
            <w:u w:val="none"/>
          </w:rPr>
          <w:t>http://publichealth.massey.ac.nz/publications/introepi.pdf</w:t>
        </w:r>
      </w:hyperlink>
      <w:r w:rsidRPr="009D7320">
        <w:rPr>
          <w:rFonts w:asciiTheme="minorHAnsi" w:hAnsiTheme="minorHAnsi" w:cstheme="minorHAnsi"/>
        </w:rPr>
        <w:t xml:space="preserve">  </w:t>
      </w:r>
    </w:p>
    <w:p w:rsidR="0095070B" w:rsidRPr="009D7320" w:rsidRDefault="0095070B">
      <w:pPr>
        <w:rPr>
          <w:rFonts w:eastAsia="Calibri"/>
          <w:lang w:val="en-GB" w:eastAsia="en-GB"/>
        </w:rPr>
      </w:pPr>
    </w:p>
    <w:p w:rsidR="00F1132F" w:rsidRPr="009D7320" w:rsidRDefault="00F1132F">
      <w:pPr>
        <w:rPr>
          <w:rFonts w:eastAsia="Calibri"/>
          <w:lang w:val="en-GB" w:eastAsia="en-GB"/>
        </w:rPr>
      </w:pPr>
    </w:p>
    <w:p w:rsidR="00F1132F" w:rsidRPr="009D7320" w:rsidRDefault="00F1132F">
      <w:pPr>
        <w:rPr>
          <w:rFonts w:eastAsia="Calibri"/>
          <w:lang w:val="en-GB" w:eastAsia="en-GB"/>
        </w:rPr>
      </w:pPr>
      <w:r w:rsidRPr="009D7320">
        <w:rPr>
          <w:rFonts w:eastAsia="Calibri"/>
          <w:lang w:val="en-GB" w:eastAsia="en-GB"/>
        </w:rPr>
        <w:t xml:space="preserve">We also recommend the online Blackboard Module </w:t>
      </w:r>
      <w:r w:rsidR="002B105D" w:rsidRPr="009D7320">
        <w:rPr>
          <w:rFonts w:eastAsia="Calibri"/>
          <w:lang w:val="en-GB" w:eastAsia="en-GB"/>
        </w:rPr>
        <w:t>called</w:t>
      </w:r>
      <w:r w:rsidRPr="009D7320">
        <w:rPr>
          <w:rFonts w:eastAsia="Calibri"/>
          <w:lang w:val="en-GB" w:eastAsia="en-GB"/>
        </w:rPr>
        <w:t xml:space="preserve"> </w:t>
      </w:r>
      <w:r w:rsidRPr="009D7320">
        <w:rPr>
          <w:rFonts w:eastAsia="Calibri"/>
          <w:i/>
          <w:lang w:val="en-GB" w:eastAsia="en-GB"/>
        </w:rPr>
        <w:t>Introduction to</w:t>
      </w:r>
      <w:r w:rsidR="002B105D" w:rsidRPr="009D7320">
        <w:rPr>
          <w:rFonts w:eastAsia="Calibri"/>
          <w:i/>
          <w:lang w:val="en-GB" w:eastAsia="en-GB"/>
        </w:rPr>
        <w:t xml:space="preserve"> Medical</w:t>
      </w:r>
      <w:r w:rsidRPr="009D7320">
        <w:rPr>
          <w:rFonts w:eastAsia="Calibri"/>
          <w:i/>
          <w:lang w:val="en-GB" w:eastAsia="en-GB"/>
        </w:rPr>
        <w:t xml:space="preserve"> Statistics</w:t>
      </w:r>
      <w:r w:rsidRPr="009D7320">
        <w:rPr>
          <w:rFonts w:eastAsia="Calibri"/>
          <w:lang w:val="en-GB" w:eastAsia="en-GB"/>
        </w:rPr>
        <w:t xml:space="preserve"> by </w:t>
      </w:r>
      <w:r w:rsidR="002B105D" w:rsidRPr="009D7320">
        <w:rPr>
          <w:rFonts w:eastAsia="Calibri"/>
          <w:lang w:val="en-GB" w:eastAsia="en-GB"/>
        </w:rPr>
        <w:t>Karim</w:t>
      </w:r>
      <w:r w:rsidRPr="009D7320">
        <w:rPr>
          <w:rFonts w:eastAsia="Calibri"/>
          <w:lang w:val="en-GB" w:eastAsia="en-GB"/>
        </w:rPr>
        <w:t xml:space="preserve"> Meeran</w:t>
      </w:r>
      <w:r w:rsidR="002B105D" w:rsidRPr="009D7320">
        <w:rPr>
          <w:rFonts w:eastAsia="Calibri"/>
          <w:lang w:val="en-GB" w:eastAsia="en-GB"/>
        </w:rPr>
        <w:t xml:space="preserve"> and Tom Sensky</w:t>
      </w:r>
      <w:r w:rsidRPr="009D7320">
        <w:rPr>
          <w:rFonts w:eastAsia="Calibri"/>
          <w:lang w:val="en-GB" w:eastAsia="en-GB"/>
        </w:rPr>
        <w:t xml:space="preserve">. You should be able to access this via the old Blackboard portal: </w:t>
      </w:r>
      <w:hyperlink r:id="rId20" w:history="1">
        <w:r w:rsidRPr="009D7320">
          <w:rPr>
            <w:rStyle w:val="Hyperlink"/>
            <w:rFonts w:eastAsia="Calibri"/>
            <w:u w:val="none"/>
            <w:lang w:val="en-GB" w:eastAsia="en-GB"/>
          </w:rPr>
          <w:t>https://vle.imperial.ac.uk/webct/logonDisplay.dowebct</w:t>
        </w:r>
      </w:hyperlink>
      <w:r w:rsidRPr="009D7320">
        <w:rPr>
          <w:rFonts w:eastAsia="Calibri"/>
          <w:lang w:val="en-GB" w:eastAsia="en-GB"/>
        </w:rPr>
        <w:t xml:space="preserve"> </w:t>
      </w:r>
    </w:p>
    <w:p w:rsidR="00F1132F" w:rsidRPr="009D7320" w:rsidRDefault="00F1132F">
      <w:pPr>
        <w:rPr>
          <w:rFonts w:eastAsia="Calibri"/>
          <w:lang w:val="en-GB" w:eastAsia="en-GB"/>
        </w:rPr>
      </w:pPr>
    </w:p>
    <w:p w:rsidR="00F1132F" w:rsidRPr="009D7320" w:rsidRDefault="00F1132F">
      <w:pPr>
        <w:rPr>
          <w:rFonts w:eastAsia="Calibri"/>
          <w:lang w:val="en-GB" w:eastAsia="en-GB"/>
        </w:rPr>
      </w:pPr>
      <w:r w:rsidRPr="009D7320">
        <w:rPr>
          <w:rFonts w:eastAsia="Calibri"/>
          <w:lang w:val="en-GB" w:eastAsia="en-GB"/>
        </w:rPr>
        <w:t xml:space="preserve">If the module does not appear on </w:t>
      </w:r>
      <w:r w:rsidR="003051EB" w:rsidRPr="009D7320">
        <w:rPr>
          <w:rFonts w:eastAsia="Calibri"/>
          <w:lang w:val="en-GB" w:eastAsia="en-GB"/>
        </w:rPr>
        <w:t>your</w:t>
      </w:r>
      <w:r w:rsidRPr="009D7320">
        <w:rPr>
          <w:rFonts w:eastAsia="Calibri"/>
          <w:lang w:val="en-GB" w:eastAsia="en-GB"/>
        </w:rPr>
        <w:t xml:space="preserve"> module list, please contact Helen King to arrange access. </w:t>
      </w:r>
    </w:p>
    <w:p w:rsidR="00B30848" w:rsidRPr="009D7320" w:rsidRDefault="00B30848">
      <w:pPr>
        <w:rPr>
          <w:rFonts w:eastAsia="Calibri"/>
          <w:lang w:val="en-GB" w:eastAsia="en-GB"/>
        </w:rPr>
      </w:pPr>
    </w:p>
    <w:p w:rsidR="00B30848" w:rsidRPr="009D7320" w:rsidRDefault="00B30848">
      <w:pPr>
        <w:rPr>
          <w:rFonts w:eastAsia="Calibri"/>
          <w:lang w:val="en-GB" w:eastAsia="en-GB"/>
        </w:rPr>
      </w:pPr>
      <w:r w:rsidRPr="009D7320">
        <w:rPr>
          <w:rFonts w:eastAsia="Calibri"/>
          <w:lang w:val="en-GB" w:eastAsia="en-GB"/>
        </w:rPr>
        <w:t xml:space="preserve">This should enable you to gain the most out of the Crash Course on Methodology which will run in the Introductory Module: </w:t>
      </w:r>
    </w:p>
    <w:p w:rsidR="00B30848" w:rsidRPr="009D7320" w:rsidRDefault="00B30848">
      <w:pPr>
        <w:rPr>
          <w:rFonts w:eastAsia="Calibri"/>
          <w:lang w:val="en-GB" w:eastAsia="en-GB"/>
        </w:rPr>
      </w:pPr>
    </w:p>
    <w:p w:rsidR="00B30848" w:rsidRPr="009D7320" w:rsidRDefault="00B30848">
      <w:pPr>
        <w:rPr>
          <w:rFonts w:eastAsia="Calibri"/>
          <w:lang w:val="en-GB" w:eastAsia="en-GB"/>
        </w:rPr>
      </w:pPr>
      <w:r w:rsidRPr="009D7320">
        <w:rPr>
          <w:rFonts w:eastAsia="Calibri"/>
          <w:noProof/>
          <w:lang w:val="en-GB" w:eastAsia="en-GB"/>
        </w:rPr>
        <w:drawing>
          <wp:inline distT="0" distB="0" distL="0" distR="0" wp14:anchorId="61E760C6" wp14:editId="0478701D">
            <wp:extent cx="5276850" cy="1828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6850" cy="1828800"/>
                    </a:xfrm>
                    <a:prstGeom prst="rect">
                      <a:avLst/>
                    </a:prstGeom>
                    <a:noFill/>
                    <a:ln w="9525">
                      <a:noFill/>
                      <a:miter lim="800000"/>
                      <a:headEnd/>
                      <a:tailEnd/>
                    </a:ln>
                  </pic:spPr>
                </pic:pic>
              </a:graphicData>
            </a:graphic>
          </wp:inline>
        </w:drawing>
      </w:r>
    </w:p>
    <w:p w:rsidR="00F1132F" w:rsidRPr="009D7320" w:rsidRDefault="00F1132F">
      <w:pPr>
        <w:rPr>
          <w:rFonts w:eastAsia="Calibri"/>
          <w:lang w:val="en-GB" w:eastAsia="en-GB"/>
        </w:rPr>
      </w:pPr>
    </w:p>
    <w:p w:rsidR="00853A78" w:rsidRPr="009D7320" w:rsidRDefault="00853A78" w:rsidP="0095070B">
      <w:pPr>
        <w:pStyle w:val="Heading2"/>
        <w:rPr>
          <w:rFonts w:eastAsia="Calibri"/>
          <w:lang w:val="en-GB" w:eastAsia="en-GB"/>
        </w:rPr>
      </w:pPr>
      <w:r w:rsidRPr="009D7320">
        <w:rPr>
          <w:rFonts w:eastAsia="Calibri"/>
          <w:lang w:val="en-GB" w:eastAsia="en-GB"/>
        </w:rPr>
        <w:t>R</w:t>
      </w:r>
      <w:r w:rsidR="004358B3" w:rsidRPr="009D7320">
        <w:rPr>
          <w:rFonts w:eastAsia="Calibri"/>
          <w:lang w:val="en-GB" w:eastAsia="en-GB"/>
        </w:rPr>
        <w:t>eference r</w:t>
      </w:r>
      <w:r w:rsidRPr="009D7320">
        <w:rPr>
          <w:rFonts w:eastAsia="Calibri"/>
          <w:lang w:val="en-GB" w:eastAsia="en-GB"/>
        </w:rPr>
        <w:t>eading</w:t>
      </w:r>
      <w:r w:rsidR="004358B3" w:rsidRPr="009D7320">
        <w:rPr>
          <w:rFonts w:eastAsia="Calibri"/>
          <w:lang w:val="en-GB" w:eastAsia="en-GB"/>
        </w:rPr>
        <w:t>s</w:t>
      </w:r>
      <w:r w:rsidR="0095070B" w:rsidRPr="009D7320">
        <w:rPr>
          <w:rFonts w:eastAsia="Calibri"/>
          <w:lang w:val="en-GB" w:eastAsia="en-GB"/>
        </w:rPr>
        <w:t xml:space="preserve"> for the </w:t>
      </w:r>
      <w:r w:rsidR="004358B3" w:rsidRPr="009D7320">
        <w:rPr>
          <w:rFonts w:eastAsia="Calibri"/>
          <w:lang w:val="en-GB" w:eastAsia="en-GB"/>
        </w:rPr>
        <w:t>Module</w:t>
      </w:r>
    </w:p>
    <w:p w:rsidR="004358B3" w:rsidRPr="009D7320" w:rsidRDefault="004358B3" w:rsidP="00863C1D">
      <w:pPr>
        <w:autoSpaceDE w:val="0"/>
        <w:autoSpaceDN w:val="0"/>
        <w:adjustRightInd w:val="0"/>
        <w:rPr>
          <w:rFonts w:asciiTheme="majorHAnsi" w:eastAsia="Calibri" w:hAnsiTheme="majorHAnsi" w:cs="MyriadPro-Bold"/>
          <w:bCs/>
          <w:sz w:val="22"/>
          <w:szCs w:val="22"/>
          <w:lang w:val="en-GB" w:eastAsia="en-GB"/>
        </w:rPr>
      </w:pPr>
    </w:p>
    <w:p w:rsidR="004358B3" w:rsidRPr="009D7320" w:rsidRDefault="004358B3" w:rsidP="00863C1D">
      <w:pPr>
        <w:autoSpaceDE w:val="0"/>
        <w:autoSpaceDN w:val="0"/>
        <w:adjustRightInd w:val="0"/>
        <w:spacing w:before="240"/>
        <w:rPr>
          <w:rFonts w:asciiTheme="minorHAnsi" w:eastAsia="Calibri" w:hAnsiTheme="minorHAnsi" w:cstheme="minorHAnsi"/>
          <w:bCs/>
          <w:sz w:val="22"/>
          <w:szCs w:val="22"/>
          <w:lang w:val="en-GB" w:eastAsia="en-GB"/>
        </w:rPr>
      </w:pPr>
      <w:r w:rsidRPr="009D7320">
        <w:rPr>
          <w:rFonts w:asciiTheme="minorHAnsi" w:eastAsia="Calibri" w:hAnsiTheme="minorHAnsi" w:cstheme="minorHAnsi"/>
          <w:bCs/>
          <w:sz w:val="22"/>
          <w:szCs w:val="22"/>
          <w:lang w:val="en-GB" w:eastAsia="en-GB"/>
        </w:rPr>
        <w:t xml:space="preserve">Kelley Lee and Jeff Collin. </w:t>
      </w:r>
      <w:r w:rsidRPr="009D7320">
        <w:rPr>
          <w:rFonts w:asciiTheme="minorHAnsi" w:eastAsia="Calibri" w:hAnsiTheme="minorHAnsi" w:cstheme="minorHAnsi"/>
          <w:bCs/>
          <w:i/>
          <w:iCs/>
          <w:sz w:val="22"/>
          <w:szCs w:val="22"/>
          <w:lang w:val="en-GB" w:eastAsia="en-GB"/>
        </w:rPr>
        <w:t>Global Change and Health</w:t>
      </w:r>
      <w:r w:rsidRPr="009D7320">
        <w:rPr>
          <w:rFonts w:asciiTheme="minorHAnsi" w:eastAsia="Calibri" w:hAnsiTheme="minorHAnsi" w:cstheme="minorHAnsi"/>
          <w:bCs/>
          <w:sz w:val="22"/>
          <w:szCs w:val="22"/>
          <w:lang w:val="en-GB" w:eastAsia="en-GB"/>
        </w:rPr>
        <w:t>, OUP, 2005</w:t>
      </w:r>
    </w:p>
    <w:p w:rsidR="004358B3" w:rsidRPr="009D7320" w:rsidRDefault="004358B3" w:rsidP="00863C1D">
      <w:pPr>
        <w:autoSpaceDE w:val="0"/>
        <w:autoSpaceDN w:val="0"/>
        <w:adjustRightInd w:val="0"/>
        <w:spacing w:before="240"/>
        <w:rPr>
          <w:rFonts w:asciiTheme="minorHAnsi" w:eastAsia="Calibri" w:hAnsiTheme="minorHAnsi" w:cstheme="minorHAnsi"/>
          <w:bCs/>
          <w:sz w:val="22"/>
          <w:szCs w:val="22"/>
          <w:lang w:val="en-GB" w:eastAsia="en-GB"/>
        </w:rPr>
      </w:pPr>
      <w:r w:rsidRPr="009D7320">
        <w:rPr>
          <w:rFonts w:asciiTheme="minorHAnsi" w:eastAsia="Calibri" w:hAnsiTheme="minorHAnsi" w:cstheme="minorHAnsi"/>
          <w:bCs/>
          <w:sz w:val="22"/>
          <w:szCs w:val="22"/>
          <w:lang w:val="en-GB" w:eastAsia="en-GB"/>
        </w:rPr>
        <w:t xml:space="preserve">Neil Pearce, Handbook of Epidemiology - can be downloaded free </w:t>
      </w:r>
      <w:hyperlink r:id="rId22" w:history="1">
        <w:r w:rsidRPr="009D7320">
          <w:rPr>
            <w:rStyle w:val="Hyperlink"/>
            <w:rFonts w:asciiTheme="minorHAnsi" w:eastAsia="Calibri" w:hAnsiTheme="minorHAnsi" w:cstheme="minorHAnsi"/>
            <w:bCs/>
            <w:sz w:val="22"/>
            <w:szCs w:val="22"/>
            <w:u w:val="none"/>
            <w:lang w:val="en-GB" w:eastAsia="en-GB"/>
          </w:rPr>
          <w:t>http://publichealth.massey.ac.nz/publications/introepi.pdf</w:t>
        </w:r>
      </w:hyperlink>
      <w:r w:rsidRPr="009D7320">
        <w:rPr>
          <w:rFonts w:asciiTheme="minorHAnsi" w:eastAsia="Calibri" w:hAnsiTheme="minorHAnsi" w:cstheme="minorHAnsi"/>
          <w:bCs/>
          <w:sz w:val="22"/>
          <w:szCs w:val="22"/>
          <w:lang w:val="en-GB" w:eastAsia="en-GB"/>
        </w:rPr>
        <w:t xml:space="preserve"> </w:t>
      </w:r>
    </w:p>
    <w:p w:rsidR="004358B3" w:rsidRPr="009D7320" w:rsidRDefault="004358B3" w:rsidP="00542E65">
      <w:pPr>
        <w:shd w:val="clear" w:color="auto" w:fill="FFFFFF"/>
        <w:spacing w:before="120" w:after="30"/>
        <w:ind w:right="28"/>
        <w:jc w:val="both"/>
        <w:rPr>
          <w:rFonts w:asciiTheme="minorHAnsi" w:hAnsiTheme="minorHAnsi" w:cstheme="minorHAnsi"/>
          <w:lang w:bidi="th-TH"/>
        </w:rPr>
      </w:pPr>
      <w:r w:rsidRPr="009D7320">
        <w:rPr>
          <w:rFonts w:asciiTheme="minorHAnsi" w:hAnsiTheme="minorHAnsi" w:cstheme="minorHAnsi"/>
          <w:lang w:bidi="th-TH"/>
        </w:rPr>
        <w:lastRenderedPageBreak/>
        <w:t>People's Health Movement. Global health watch 2. Zed Books: London, 2008 (6 copies available at St.Mary's Library)</w:t>
      </w:r>
    </w:p>
    <w:p w:rsidR="004358B3" w:rsidRPr="009D7320" w:rsidRDefault="004358B3" w:rsidP="00542E65">
      <w:pPr>
        <w:shd w:val="clear" w:color="auto" w:fill="FFFFFF"/>
        <w:spacing w:before="120" w:after="30"/>
        <w:ind w:right="28"/>
        <w:jc w:val="both"/>
        <w:rPr>
          <w:rFonts w:asciiTheme="minorHAnsi" w:hAnsiTheme="minorHAnsi" w:cstheme="minorHAnsi"/>
          <w:lang w:bidi="th-TH"/>
        </w:rPr>
      </w:pPr>
      <w:r w:rsidRPr="009D7320">
        <w:rPr>
          <w:rFonts w:asciiTheme="minorHAnsi" w:hAnsiTheme="minorHAnsi" w:cstheme="minorHAnsi"/>
          <w:lang w:bidi="th-TH"/>
        </w:rPr>
        <w:t>People's Health Movement. Global health watch 2005-2006: an alternative world health report, 2005. Zed Books: London (5 copies available at St.Mary's Library)</w:t>
      </w:r>
    </w:p>
    <w:p w:rsidR="004358B3" w:rsidRPr="009D7320" w:rsidRDefault="004358B3" w:rsidP="00542E65">
      <w:pPr>
        <w:shd w:val="clear" w:color="auto" w:fill="FFFFFF"/>
        <w:spacing w:before="120" w:after="30"/>
        <w:ind w:right="28"/>
        <w:jc w:val="both"/>
        <w:rPr>
          <w:rFonts w:asciiTheme="minorHAnsi" w:hAnsiTheme="minorHAnsi" w:cstheme="minorHAnsi"/>
          <w:lang w:bidi="th-TH"/>
        </w:rPr>
      </w:pPr>
      <w:r w:rsidRPr="009D7320">
        <w:rPr>
          <w:rFonts w:asciiTheme="minorHAnsi" w:hAnsiTheme="minorHAnsi" w:cstheme="minorHAnsi"/>
          <w:lang w:bidi="th-TH"/>
        </w:rPr>
        <w:t>People's Health Movement. Global health watch 3 : an alternative world health report, 2011. Zed Books: London (4 copies available at St.Mary's Library)</w:t>
      </w:r>
    </w:p>
    <w:p w:rsidR="004358B3" w:rsidRPr="009D7320" w:rsidRDefault="004358B3" w:rsidP="004358B3">
      <w:pPr>
        <w:shd w:val="clear" w:color="auto" w:fill="FFFFFF"/>
        <w:spacing w:before="30" w:after="30"/>
        <w:ind w:right="30"/>
        <w:jc w:val="both"/>
        <w:rPr>
          <w:rFonts w:asciiTheme="minorHAnsi" w:hAnsiTheme="minorHAnsi" w:cstheme="minorHAnsi"/>
          <w:b/>
          <w:lang w:bidi="th-TH"/>
        </w:rPr>
      </w:pPr>
      <w:r w:rsidRPr="009D7320">
        <w:rPr>
          <w:rFonts w:asciiTheme="minorHAnsi" w:hAnsiTheme="minorHAnsi" w:cstheme="minorHAnsi"/>
          <w:lang w:bidi="th-TH"/>
        </w:rPr>
        <w:t>Sen A. Development as Freedom. Oxford, Oxford University Press, 1999.</w:t>
      </w:r>
    </w:p>
    <w:p w:rsidR="004358B3" w:rsidRPr="009D7320" w:rsidRDefault="004358B3" w:rsidP="005D7091">
      <w:pPr>
        <w:autoSpaceDE w:val="0"/>
        <w:autoSpaceDN w:val="0"/>
        <w:adjustRightInd w:val="0"/>
        <w:rPr>
          <w:rFonts w:asciiTheme="majorHAnsi" w:eastAsia="Calibri" w:hAnsiTheme="majorHAnsi" w:cs="MyriadPro-Bold"/>
          <w:bCs/>
          <w:sz w:val="22"/>
          <w:szCs w:val="22"/>
          <w:lang w:val="en-GB" w:eastAsia="en-GB"/>
        </w:rPr>
      </w:pPr>
    </w:p>
    <w:p w:rsidR="004358B3" w:rsidRPr="009D7320" w:rsidRDefault="004358B3" w:rsidP="005D7091">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Skolnik R. </w:t>
      </w:r>
      <w:r w:rsidRPr="009D7320">
        <w:rPr>
          <w:rFonts w:asciiTheme="majorHAnsi" w:eastAsia="Calibri" w:hAnsiTheme="majorHAnsi" w:cs="MyriadPro-Bold"/>
          <w:bCs/>
          <w:i/>
          <w:iCs/>
          <w:sz w:val="22"/>
          <w:szCs w:val="22"/>
          <w:lang w:val="en-GB" w:eastAsia="en-GB"/>
        </w:rPr>
        <w:t>Essentials of Global Health</w:t>
      </w:r>
      <w:r w:rsidRPr="009D7320">
        <w:rPr>
          <w:rFonts w:asciiTheme="majorHAnsi" w:eastAsia="Calibri" w:hAnsiTheme="majorHAnsi" w:cs="MyriadPro-Bold"/>
          <w:bCs/>
          <w:sz w:val="22"/>
          <w:szCs w:val="22"/>
          <w:lang w:val="en-GB" w:eastAsia="en-GB"/>
        </w:rPr>
        <w:t xml:space="preserve">, Jones and Bartlett, 2007,  &amp; accompanying set of case studies. Levine R. </w:t>
      </w:r>
      <w:r w:rsidRPr="009D7320">
        <w:rPr>
          <w:rFonts w:asciiTheme="majorHAnsi" w:eastAsia="Calibri" w:hAnsiTheme="majorHAnsi" w:cs="MyriadPro-Bold"/>
          <w:bCs/>
          <w:i/>
          <w:iCs/>
          <w:sz w:val="22"/>
          <w:szCs w:val="22"/>
          <w:lang w:val="en-GB" w:eastAsia="en-GB"/>
        </w:rPr>
        <w:t>Case Studies in Global Health: Millions Saved</w:t>
      </w:r>
      <w:r w:rsidRPr="009D7320">
        <w:rPr>
          <w:rFonts w:asciiTheme="majorHAnsi" w:eastAsia="Calibri" w:hAnsiTheme="majorHAnsi" w:cs="MyriadPro-Bold"/>
          <w:bCs/>
          <w:sz w:val="22"/>
          <w:szCs w:val="22"/>
          <w:lang w:val="en-GB" w:eastAsia="en-GB"/>
        </w:rPr>
        <w:t xml:space="preserve"> Jones and Bartlett, 2007</w:t>
      </w:r>
      <w:r w:rsidRPr="009D7320">
        <w:rPr>
          <w:rFonts w:asciiTheme="majorHAnsi" w:eastAsia="Calibri" w:hAnsiTheme="majorHAnsi" w:cs="MyriadPro-Bold"/>
          <w:bCs/>
          <w:sz w:val="22"/>
          <w:szCs w:val="22"/>
          <w:lang w:eastAsia="en-GB"/>
        </w:rPr>
        <w:t xml:space="preserve">. The case studies are  available at </w:t>
      </w:r>
      <w:hyperlink r:id="rId23" w:history="1">
        <w:r w:rsidRPr="009D7320">
          <w:rPr>
            <w:rStyle w:val="Hyperlink"/>
            <w:rFonts w:asciiTheme="majorHAnsi" w:eastAsia="Calibri" w:hAnsiTheme="majorHAnsi" w:cs="MyriadPro-Bold"/>
            <w:bCs/>
            <w:sz w:val="22"/>
            <w:szCs w:val="22"/>
            <w:u w:val="none"/>
            <w:lang w:eastAsia="en-GB"/>
          </w:rPr>
          <w:t>www.cgdev.org/section/initiatives/_active/millionssaved</w:t>
        </w:r>
      </w:hyperlink>
      <w:r w:rsidRPr="009D7320">
        <w:rPr>
          <w:rFonts w:asciiTheme="majorHAnsi" w:eastAsia="Calibri" w:hAnsiTheme="majorHAnsi" w:cs="MyriadPro-Bold"/>
          <w:bCs/>
          <w:sz w:val="22"/>
          <w:szCs w:val="22"/>
          <w:lang w:eastAsia="en-GB"/>
        </w:rPr>
        <w:t xml:space="preserve"> </w:t>
      </w:r>
    </w:p>
    <w:p w:rsidR="003051EB" w:rsidRPr="009D7320" w:rsidRDefault="003051EB" w:rsidP="0049796A">
      <w:pPr>
        <w:pStyle w:val="Heading2"/>
        <w:rPr>
          <w:rFonts w:eastAsia="Calibri"/>
          <w:lang w:val="en-GB" w:eastAsia="en-GB"/>
        </w:rPr>
        <w:sectPr w:rsidR="003051EB" w:rsidRPr="009D7320" w:rsidSect="009D7320">
          <w:footerReference w:type="even" r:id="rId24"/>
          <w:footerReference w:type="default" r:id="rId25"/>
          <w:pgSz w:w="11904" w:h="16834" w:code="9"/>
          <w:pgMar w:top="1134" w:right="1418" w:bottom="1134" w:left="1418" w:header="567" w:footer="567" w:gutter="0"/>
          <w:cols w:space="708"/>
          <w:docGrid w:linePitch="360"/>
        </w:sectPr>
      </w:pPr>
    </w:p>
    <w:p w:rsidR="00BB3E4D" w:rsidRPr="009D7320" w:rsidRDefault="00BB3E4D" w:rsidP="009D7320">
      <w:pPr>
        <w:pStyle w:val="Heading1"/>
        <w:spacing w:before="0"/>
      </w:pPr>
      <w:r w:rsidRPr="009D7320">
        <w:lastRenderedPageBreak/>
        <w:t>Part A: Introductory Module</w:t>
      </w:r>
    </w:p>
    <w:p w:rsidR="009D7320" w:rsidRDefault="009D7320" w:rsidP="009D7320">
      <w:pPr>
        <w:pStyle w:val="Heading3"/>
        <w:spacing w:before="0" w:after="0"/>
      </w:pPr>
    </w:p>
    <w:p w:rsidR="00BB3E4D" w:rsidRPr="009D7320" w:rsidRDefault="00BB3E4D" w:rsidP="009D7320">
      <w:pPr>
        <w:pStyle w:val="Heading3"/>
        <w:spacing w:before="0" w:after="0"/>
      </w:pPr>
      <w:r w:rsidRPr="009D7320">
        <w:t>24 September– 5 October 2012</w:t>
      </w:r>
    </w:p>
    <w:p w:rsidR="00BB3E4D" w:rsidRPr="009D7320" w:rsidRDefault="00BB3E4D" w:rsidP="009D7320"/>
    <w:tbl>
      <w:tblPr>
        <w:tblStyle w:val="TableGrid"/>
        <w:tblW w:w="4993" w:type="pct"/>
        <w:tblLook w:val="04A0" w:firstRow="1" w:lastRow="0" w:firstColumn="1" w:lastColumn="0" w:noHBand="0" w:noVBand="1"/>
      </w:tblPr>
      <w:tblGrid>
        <w:gridCol w:w="2215"/>
        <w:gridCol w:w="1585"/>
        <w:gridCol w:w="2406"/>
        <w:gridCol w:w="5677"/>
        <w:gridCol w:w="2878"/>
      </w:tblGrid>
      <w:tr w:rsidR="00BB3E4D" w:rsidRPr="009D7320" w:rsidTr="00404BAE">
        <w:trPr>
          <w:trHeight w:val="269"/>
        </w:trPr>
        <w:tc>
          <w:tcPr>
            <w:tcW w:w="750" w:type="pct"/>
            <w:shd w:val="clear" w:color="auto" w:fill="948A54" w:themeFill="background2" w:themeFillShade="80"/>
          </w:tcPr>
          <w:p w:rsidR="00BB3E4D" w:rsidRPr="009D7320" w:rsidRDefault="00BB3E4D" w:rsidP="00404BAE">
            <w:pPr>
              <w:rPr>
                <w:b/>
              </w:rPr>
            </w:pPr>
            <w:r w:rsidRPr="009D7320">
              <w:rPr>
                <w:b/>
              </w:rPr>
              <w:t>Date</w:t>
            </w:r>
          </w:p>
        </w:tc>
        <w:tc>
          <w:tcPr>
            <w:tcW w:w="537" w:type="pct"/>
            <w:shd w:val="clear" w:color="auto" w:fill="948A54" w:themeFill="background2" w:themeFillShade="80"/>
          </w:tcPr>
          <w:p w:rsidR="00BB3E4D" w:rsidRPr="009D7320" w:rsidRDefault="00BB3E4D" w:rsidP="00404BAE">
            <w:pPr>
              <w:rPr>
                <w:b/>
              </w:rPr>
            </w:pPr>
            <w:r w:rsidRPr="009D7320">
              <w:rPr>
                <w:b/>
              </w:rPr>
              <w:t>Time</w:t>
            </w:r>
          </w:p>
        </w:tc>
        <w:tc>
          <w:tcPr>
            <w:tcW w:w="815" w:type="pct"/>
            <w:shd w:val="clear" w:color="auto" w:fill="948A54" w:themeFill="background2" w:themeFillShade="80"/>
          </w:tcPr>
          <w:p w:rsidR="00BB3E4D" w:rsidRPr="009D7320" w:rsidRDefault="00BB3E4D" w:rsidP="00404BAE">
            <w:pPr>
              <w:rPr>
                <w:b/>
              </w:rPr>
            </w:pPr>
            <w:r w:rsidRPr="009D7320">
              <w:rPr>
                <w:b/>
              </w:rPr>
              <w:t>Speaker</w:t>
            </w:r>
          </w:p>
        </w:tc>
        <w:tc>
          <w:tcPr>
            <w:tcW w:w="1923" w:type="pct"/>
            <w:shd w:val="clear" w:color="auto" w:fill="948A54" w:themeFill="background2" w:themeFillShade="80"/>
          </w:tcPr>
          <w:p w:rsidR="00BB3E4D" w:rsidRPr="009D7320" w:rsidRDefault="00BB3E4D" w:rsidP="00404BAE">
            <w:pPr>
              <w:rPr>
                <w:b/>
              </w:rPr>
            </w:pPr>
            <w:r w:rsidRPr="009D7320">
              <w:rPr>
                <w:b/>
              </w:rPr>
              <w:t>Session</w:t>
            </w:r>
          </w:p>
        </w:tc>
        <w:tc>
          <w:tcPr>
            <w:tcW w:w="975" w:type="pct"/>
            <w:shd w:val="clear" w:color="auto" w:fill="948A54" w:themeFill="background2" w:themeFillShade="80"/>
          </w:tcPr>
          <w:p w:rsidR="00BB3E4D" w:rsidRPr="009D7320" w:rsidRDefault="00BB3E4D" w:rsidP="00404BAE">
            <w:pPr>
              <w:rPr>
                <w:b/>
              </w:rPr>
            </w:pPr>
            <w:r w:rsidRPr="009D7320">
              <w:rPr>
                <w:b/>
              </w:rPr>
              <w:t>Location</w:t>
            </w:r>
          </w:p>
        </w:tc>
      </w:tr>
      <w:tr w:rsidR="00BB3E4D" w:rsidRPr="009D7320" w:rsidTr="00404BAE">
        <w:trPr>
          <w:trHeight w:val="269"/>
        </w:trPr>
        <w:tc>
          <w:tcPr>
            <w:tcW w:w="5000" w:type="pct"/>
            <w:gridSpan w:val="5"/>
            <w:shd w:val="clear" w:color="auto" w:fill="DDD9C3" w:themeFill="background2" w:themeFillShade="E6"/>
          </w:tcPr>
          <w:p w:rsidR="00BB3E4D" w:rsidRPr="009D7320" w:rsidRDefault="00BB3E4D" w:rsidP="00404BAE">
            <w:pPr>
              <w:rPr>
                <w:b/>
              </w:rPr>
            </w:pPr>
          </w:p>
          <w:p w:rsidR="00BB3E4D" w:rsidRPr="009D7320" w:rsidRDefault="00BB3E4D" w:rsidP="00404BAE">
            <w:pPr>
              <w:rPr>
                <w:b/>
              </w:rPr>
            </w:pPr>
            <w:r w:rsidRPr="009D7320">
              <w:rPr>
                <w:b/>
              </w:rPr>
              <w:t>Week 1</w:t>
            </w:r>
          </w:p>
          <w:p w:rsidR="00BB3E4D" w:rsidRPr="009D7320" w:rsidRDefault="00BB3E4D" w:rsidP="00404BAE">
            <w:pPr>
              <w:rPr>
                <w:b/>
              </w:rPr>
            </w:pPr>
          </w:p>
        </w:tc>
      </w:tr>
      <w:tr w:rsidR="00BB3E4D" w:rsidRPr="009D7320" w:rsidTr="00404BAE">
        <w:trPr>
          <w:trHeight w:val="269"/>
        </w:trPr>
        <w:tc>
          <w:tcPr>
            <w:tcW w:w="750" w:type="pct"/>
            <w:vMerge w:val="restart"/>
          </w:tcPr>
          <w:p w:rsidR="00BB3E4D" w:rsidRPr="009D7320" w:rsidRDefault="00BB3E4D" w:rsidP="00404BAE">
            <w:r w:rsidRPr="009D7320">
              <w:t>Mon 24 Sept</w:t>
            </w:r>
          </w:p>
        </w:tc>
        <w:tc>
          <w:tcPr>
            <w:tcW w:w="537" w:type="pct"/>
          </w:tcPr>
          <w:p w:rsidR="00BB3E4D" w:rsidRPr="009D7320" w:rsidRDefault="00BB3E4D" w:rsidP="00404BAE">
            <w:r w:rsidRPr="009D7320">
              <w:t>9.30-11.00</w:t>
            </w:r>
          </w:p>
        </w:tc>
        <w:tc>
          <w:tcPr>
            <w:tcW w:w="815" w:type="pct"/>
          </w:tcPr>
          <w:p w:rsidR="00BB3E4D" w:rsidRPr="009D7320" w:rsidRDefault="00BB3E4D" w:rsidP="00404BAE">
            <w:r w:rsidRPr="009D7320">
              <w:t>Helen Ward</w:t>
            </w:r>
          </w:p>
          <w:p w:rsidR="00BB3E4D" w:rsidRPr="009D7320" w:rsidRDefault="00BB3E4D" w:rsidP="00404BAE">
            <w:r w:rsidRPr="009D7320">
              <w:t xml:space="preserve">Mariam Sbaiti </w:t>
            </w:r>
          </w:p>
        </w:tc>
        <w:tc>
          <w:tcPr>
            <w:tcW w:w="1923" w:type="pct"/>
          </w:tcPr>
          <w:p w:rsidR="00BB3E4D" w:rsidRPr="009D7320" w:rsidRDefault="00BB3E4D" w:rsidP="00404BAE">
            <w:r w:rsidRPr="009D7320">
              <w:t xml:space="preserve">Welcome and introductions </w:t>
            </w:r>
          </w:p>
          <w:p w:rsidR="00BB3E4D" w:rsidRPr="009D7320" w:rsidRDefault="00BB3E4D" w:rsidP="00404BAE">
            <w:r w:rsidRPr="009D7320">
              <w:t>Discussion What Is Global Health?</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11.30-12.30</w:t>
            </w:r>
          </w:p>
        </w:tc>
        <w:tc>
          <w:tcPr>
            <w:tcW w:w="815" w:type="pct"/>
          </w:tcPr>
          <w:p w:rsidR="00BB3E4D" w:rsidRPr="009D7320" w:rsidRDefault="00BB3E4D" w:rsidP="00404BAE">
            <w:r w:rsidRPr="009D7320">
              <w:t>Mariam Sbaiti</w:t>
            </w:r>
          </w:p>
        </w:tc>
        <w:tc>
          <w:tcPr>
            <w:tcW w:w="1923" w:type="pct"/>
          </w:tcPr>
          <w:p w:rsidR="00BB3E4D" w:rsidRPr="009D7320" w:rsidRDefault="00BB3E4D" w:rsidP="00404BAE">
            <w:r w:rsidRPr="009D7320">
              <w:t>Introduction to the structure of the course and housekeeping</w:t>
            </w:r>
          </w:p>
          <w:p w:rsidR="00BB3E4D" w:rsidRPr="009D7320" w:rsidRDefault="00BB3E4D" w:rsidP="00404BAE">
            <w:r w:rsidRPr="009D7320">
              <w:t>Q&amp;As</w:t>
            </w:r>
          </w:p>
          <w:p w:rsidR="00BB3E4D" w:rsidRPr="009D7320" w:rsidRDefault="00BB3E4D" w:rsidP="00404BAE"/>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14.00-3.30</w:t>
            </w:r>
          </w:p>
        </w:tc>
        <w:tc>
          <w:tcPr>
            <w:tcW w:w="815" w:type="pct"/>
          </w:tcPr>
          <w:p w:rsidR="00BB3E4D" w:rsidRPr="009D7320" w:rsidRDefault="00BB3E4D" w:rsidP="00404BAE">
            <w:r w:rsidRPr="009D7320">
              <w:t>Jackie Cousins</w:t>
            </w:r>
          </w:p>
        </w:tc>
        <w:tc>
          <w:tcPr>
            <w:tcW w:w="1923" w:type="pct"/>
          </w:tcPr>
          <w:p w:rsidR="00BB3E4D" w:rsidRPr="009D7320" w:rsidRDefault="00BB3E4D" w:rsidP="00404BAE">
            <w:r w:rsidRPr="009D7320">
              <w:t>Plagiarism</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val="restart"/>
          </w:tcPr>
          <w:p w:rsidR="00BB3E4D" w:rsidRPr="009D7320" w:rsidRDefault="00BB3E4D" w:rsidP="00404BAE">
            <w:r w:rsidRPr="009D7320">
              <w:t>Tues 25 Sept</w:t>
            </w:r>
          </w:p>
          <w:p w:rsidR="00BB3E4D" w:rsidRPr="009D7320" w:rsidRDefault="00BB3E4D" w:rsidP="00404BAE"/>
          <w:p w:rsidR="00BB3E4D" w:rsidRPr="009D7320" w:rsidRDefault="00BB3E4D" w:rsidP="00404BAE"/>
        </w:tc>
        <w:tc>
          <w:tcPr>
            <w:tcW w:w="537" w:type="pct"/>
          </w:tcPr>
          <w:p w:rsidR="00BB3E4D" w:rsidRPr="009D7320" w:rsidRDefault="00BB3E4D" w:rsidP="00404BAE">
            <w:r w:rsidRPr="009D7320">
              <w:t>9.30-11.00</w:t>
            </w:r>
          </w:p>
        </w:tc>
        <w:tc>
          <w:tcPr>
            <w:tcW w:w="815" w:type="pct"/>
          </w:tcPr>
          <w:p w:rsidR="00BB3E4D" w:rsidRPr="009D7320" w:rsidRDefault="00BB3E4D" w:rsidP="00404BAE">
            <w:r w:rsidRPr="009D7320">
              <w:t>Helen Ward</w:t>
            </w:r>
          </w:p>
        </w:tc>
        <w:tc>
          <w:tcPr>
            <w:tcW w:w="1923" w:type="pct"/>
          </w:tcPr>
          <w:p w:rsidR="00BB3E4D" w:rsidRPr="009D7320" w:rsidRDefault="00BB3E4D" w:rsidP="00404BAE">
            <w:r w:rsidRPr="009D7320">
              <w:t>Crash course in methods #1: Measuring and comparing global health</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11.00-12.00</w:t>
            </w:r>
          </w:p>
        </w:tc>
        <w:tc>
          <w:tcPr>
            <w:tcW w:w="815" w:type="pct"/>
          </w:tcPr>
          <w:p w:rsidR="00BB3E4D" w:rsidRPr="009D7320" w:rsidRDefault="00BB3E4D" w:rsidP="00404BAE">
            <w:r w:rsidRPr="009D7320">
              <w:t>Mariam Sbaiti</w:t>
            </w:r>
          </w:p>
        </w:tc>
        <w:tc>
          <w:tcPr>
            <w:tcW w:w="1923" w:type="pct"/>
          </w:tcPr>
          <w:p w:rsidR="00BB3E4D" w:rsidRPr="009D7320" w:rsidRDefault="00BB3E4D" w:rsidP="00404BAE">
            <w:r w:rsidRPr="009D7320">
              <w:t>The Millennium Development Goals and introduction to group work</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14.00-16.00</w:t>
            </w:r>
          </w:p>
        </w:tc>
        <w:tc>
          <w:tcPr>
            <w:tcW w:w="815" w:type="pct"/>
          </w:tcPr>
          <w:p w:rsidR="00BB3E4D" w:rsidRPr="009D7320" w:rsidRDefault="00BB3E4D" w:rsidP="00404BAE">
            <w:pPr>
              <w:rPr>
                <w:color w:val="FF0000"/>
              </w:rPr>
            </w:pPr>
            <w:r w:rsidRPr="009D7320">
              <w:rPr>
                <w:bCs/>
              </w:rPr>
              <w:t>Kelley Swain</w:t>
            </w:r>
          </w:p>
        </w:tc>
        <w:tc>
          <w:tcPr>
            <w:tcW w:w="1923" w:type="pct"/>
          </w:tcPr>
          <w:p w:rsidR="00BB3E4D" w:rsidRPr="009D7320" w:rsidRDefault="00BB3E4D" w:rsidP="00404BAE">
            <w:r w:rsidRPr="009D7320">
              <w:t>Why Humanities in Global Health?</w:t>
            </w:r>
          </w:p>
        </w:tc>
        <w:tc>
          <w:tcPr>
            <w:tcW w:w="975" w:type="pct"/>
          </w:tcPr>
          <w:p w:rsidR="00BB3E4D" w:rsidRPr="009D7320" w:rsidRDefault="00BB3E4D" w:rsidP="00404BAE">
            <w:r w:rsidRPr="009D7320">
              <w:t>Roger Bannister</w:t>
            </w:r>
          </w:p>
        </w:tc>
      </w:tr>
      <w:tr w:rsidR="00BB3E4D" w:rsidRPr="009D7320" w:rsidTr="00404BAE">
        <w:trPr>
          <w:trHeight w:val="816"/>
        </w:trPr>
        <w:tc>
          <w:tcPr>
            <w:tcW w:w="750" w:type="pct"/>
            <w:vMerge w:val="restart"/>
          </w:tcPr>
          <w:p w:rsidR="00BB3E4D" w:rsidRPr="009D7320" w:rsidRDefault="00BB3E4D" w:rsidP="00404BAE">
            <w:r w:rsidRPr="009D7320">
              <w:t>Wed 26 Sept</w:t>
            </w:r>
          </w:p>
        </w:tc>
        <w:tc>
          <w:tcPr>
            <w:tcW w:w="537" w:type="pct"/>
          </w:tcPr>
          <w:p w:rsidR="00BB3E4D" w:rsidRPr="009D7320" w:rsidRDefault="007E67FD" w:rsidP="00404BAE">
            <w:r w:rsidRPr="009D7320">
              <w:t>09.00-10.00</w:t>
            </w:r>
          </w:p>
        </w:tc>
        <w:tc>
          <w:tcPr>
            <w:tcW w:w="815" w:type="pct"/>
          </w:tcPr>
          <w:p w:rsidR="00BB3E4D" w:rsidRPr="009D7320" w:rsidRDefault="00BB3E4D" w:rsidP="00404BAE">
            <w:r w:rsidRPr="009D7320">
              <w:t xml:space="preserve">Helen Ward </w:t>
            </w:r>
          </w:p>
        </w:tc>
        <w:tc>
          <w:tcPr>
            <w:tcW w:w="1923" w:type="pct"/>
          </w:tcPr>
          <w:p w:rsidR="00BB3E4D" w:rsidRPr="009D7320" w:rsidRDefault="00BB3E4D" w:rsidP="00404BAE">
            <w:r w:rsidRPr="009D7320">
              <w:t>Crash course in methods #2: Interpreting evidence in global health</w:t>
            </w:r>
          </w:p>
        </w:tc>
        <w:tc>
          <w:tcPr>
            <w:tcW w:w="975" w:type="pct"/>
          </w:tcPr>
          <w:p w:rsidR="00BB3E4D" w:rsidRPr="009D7320" w:rsidRDefault="00BB3E4D" w:rsidP="00404BAE">
            <w:r w:rsidRPr="009D7320">
              <w:t>Roger Bannister</w:t>
            </w:r>
          </w:p>
        </w:tc>
      </w:tr>
      <w:tr w:rsidR="00BB3E4D" w:rsidRPr="009D7320" w:rsidTr="00404BAE">
        <w:trPr>
          <w:trHeight w:val="816"/>
        </w:trPr>
        <w:tc>
          <w:tcPr>
            <w:tcW w:w="750" w:type="pct"/>
            <w:vMerge/>
          </w:tcPr>
          <w:p w:rsidR="00BB3E4D" w:rsidRPr="009D7320" w:rsidRDefault="00BB3E4D" w:rsidP="00404BAE"/>
        </w:tc>
        <w:tc>
          <w:tcPr>
            <w:tcW w:w="537" w:type="pct"/>
          </w:tcPr>
          <w:p w:rsidR="00BB3E4D" w:rsidRPr="009D7320" w:rsidRDefault="00BB3E4D" w:rsidP="00404BAE">
            <w:r w:rsidRPr="009D7320">
              <w:t>11.00-12.30</w:t>
            </w:r>
          </w:p>
        </w:tc>
        <w:tc>
          <w:tcPr>
            <w:tcW w:w="815" w:type="pct"/>
          </w:tcPr>
          <w:p w:rsidR="00BB3E4D" w:rsidRPr="009D7320" w:rsidRDefault="00BB3E4D" w:rsidP="00404BAE">
            <w:r w:rsidRPr="009D7320">
              <w:t>Tutors</w:t>
            </w:r>
          </w:p>
        </w:tc>
        <w:tc>
          <w:tcPr>
            <w:tcW w:w="1923" w:type="pct"/>
          </w:tcPr>
          <w:p w:rsidR="00BB3E4D" w:rsidRPr="009D7320" w:rsidRDefault="00BB3E4D" w:rsidP="00404BAE">
            <w:r w:rsidRPr="009D7320">
              <w:t>Private Study or Tutorial group meetings</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val="restart"/>
          </w:tcPr>
          <w:p w:rsidR="00BB3E4D" w:rsidRPr="009D7320" w:rsidRDefault="00BB3E4D" w:rsidP="00404BAE">
            <w:r w:rsidRPr="009D7320">
              <w:t>Thurs 27 Sept</w:t>
            </w:r>
          </w:p>
        </w:tc>
        <w:tc>
          <w:tcPr>
            <w:tcW w:w="537" w:type="pct"/>
          </w:tcPr>
          <w:p w:rsidR="00BB3E4D" w:rsidRPr="009D7320" w:rsidRDefault="00BB3E4D" w:rsidP="00404BAE">
            <w:r w:rsidRPr="009D7320">
              <w:t>10.00-12.00</w:t>
            </w:r>
          </w:p>
        </w:tc>
        <w:tc>
          <w:tcPr>
            <w:tcW w:w="815" w:type="pct"/>
          </w:tcPr>
          <w:p w:rsidR="00BB3E4D" w:rsidRPr="009D7320" w:rsidRDefault="00BB3E4D" w:rsidP="00404BAE">
            <w:r w:rsidRPr="009D7320">
              <w:t xml:space="preserve">Teresa Norat </w:t>
            </w:r>
          </w:p>
        </w:tc>
        <w:tc>
          <w:tcPr>
            <w:tcW w:w="1923" w:type="pct"/>
          </w:tcPr>
          <w:p w:rsidR="00BB3E4D" w:rsidRPr="009D7320" w:rsidRDefault="00BB3E4D" w:rsidP="00404BAE">
            <w:r w:rsidRPr="009D7320">
              <w:t xml:space="preserve">Lecture: Systematic Reviews </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2.00-3.30</w:t>
            </w:r>
          </w:p>
        </w:tc>
        <w:tc>
          <w:tcPr>
            <w:tcW w:w="2738" w:type="pct"/>
            <w:gridSpan w:val="2"/>
          </w:tcPr>
          <w:p w:rsidR="00BB3E4D" w:rsidRPr="009D7320" w:rsidRDefault="00BB3E4D" w:rsidP="00404BAE">
            <w:r w:rsidRPr="009D7320">
              <w:rPr>
                <w:bCs/>
              </w:rPr>
              <w:t>Reviewing the literature with Jackie Cousins</w:t>
            </w:r>
          </w:p>
        </w:tc>
        <w:tc>
          <w:tcPr>
            <w:tcW w:w="975" w:type="pct"/>
          </w:tcPr>
          <w:p w:rsidR="00BB3E4D" w:rsidRPr="009D7320" w:rsidRDefault="00BB3E4D" w:rsidP="00404BAE">
            <w:r w:rsidRPr="009D7320">
              <w:t>Hynds Lab</w:t>
            </w:r>
          </w:p>
        </w:tc>
      </w:tr>
      <w:tr w:rsidR="00BB3E4D" w:rsidRPr="009D7320" w:rsidTr="00404BAE">
        <w:trPr>
          <w:trHeight w:val="269"/>
        </w:trPr>
        <w:tc>
          <w:tcPr>
            <w:tcW w:w="750" w:type="pct"/>
          </w:tcPr>
          <w:p w:rsidR="00BB3E4D" w:rsidRPr="009D7320" w:rsidRDefault="00BB3E4D" w:rsidP="00404BAE">
            <w:r w:rsidRPr="009D7320">
              <w:t>Fri 28 Sept</w:t>
            </w:r>
          </w:p>
        </w:tc>
        <w:tc>
          <w:tcPr>
            <w:tcW w:w="537" w:type="pct"/>
          </w:tcPr>
          <w:p w:rsidR="00BB3E4D" w:rsidRPr="009D7320" w:rsidRDefault="00BB3E4D" w:rsidP="00404BAE">
            <w:r w:rsidRPr="009D7320">
              <w:t>09.30 – 11.00</w:t>
            </w:r>
          </w:p>
        </w:tc>
        <w:tc>
          <w:tcPr>
            <w:tcW w:w="815" w:type="pct"/>
          </w:tcPr>
          <w:p w:rsidR="00BB3E4D" w:rsidRPr="009D7320" w:rsidRDefault="00BB3E4D" w:rsidP="00404BAE">
            <w:r w:rsidRPr="009D7320">
              <w:t>Teresa Norat and Doris Chan</w:t>
            </w:r>
          </w:p>
        </w:tc>
        <w:tc>
          <w:tcPr>
            <w:tcW w:w="1923" w:type="pct"/>
          </w:tcPr>
          <w:p w:rsidR="00BB3E4D" w:rsidRPr="009D7320" w:rsidRDefault="00BB3E4D" w:rsidP="00404BAE">
            <w:r w:rsidRPr="009D7320">
              <w:t>Practical: Planning and Conducting a Systematic Review</w:t>
            </w:r>
          </w:p>
        </w:tc>
        <w:tc>
          <w:tcPr>
            <w:tcW w:w="975" w:type="pct"/>
          </w:tcPr>
          <w:p w:rsidR="00BB3E4D" w:rsidRPr="009D7320" w:rsidRDefault="00BB3E4D" w:rsidP="00404BAE">
            <w:r w:rsidRPr="009D7320">
              <w:t>Roger Bannister</w:t>
            </w:r>
          </w:p>
          <w:p w:rsidR="00BB3E4D" w:rsidRPr="009D7320" w:rsidRDefault="00BB3E4D" w:rsidP="00404BAE">
            <w:r w:rsidRPr="009D7320">
              <w:t>And MSc room</w:t>
            </w:r>
          </w:p>
        </w:tc>
      </w:tr>
    </w:tbl>
    <w:p w:rsidR="00BB3E4D" w:rsidRPr="009D7320" w:rsidRDefault="00BB3E4D" w:rsidP="00BB3E4D"/>
    <w:p w:rsidR="00BB3E4D" w:rsidRPr="009D7320" w:rsidRDefault="00BB3E4D" w:rsidP="00BB3E4D"/>
    <w:p w:rsidR="009D7320" w:rsidRDefault="009D7320">
      <w:r>
        <w:br w:type="page"/>
      </w:r>
    </w:p>
    <w:p w:rsidR="00BB3E4D" w:rsidRPr="009D7320" w:rsidRDefault="00BB3E4D" w:rsidP="00BB3E4D"/>
    <w:tbl>
      <w:tblPr>
        <w:tblStyle w:val="TableGrid"/>
        <w:tblW w:w="4993" w:type="pct"/>
        <w:tblLook w:val="04A0" w:firstRow="1" w:lastRow="0" w:firstColumn="1" w:lastColumn="0" w:noHBand="0" w:noVBand="1"/>
      </w:tblPr>
      <w:tblGrid>
        <w:gridCol w:w="2215"/>
        <w:gridCol w:w="1585"/>
        <w:gridCol w:w="2406"/>
        <w:gridCol w:w="5677"/>
        <w:gridCol w:w="2878"/>
      </w:tblGrid>
      <w:tr w:rsidR="00BB3E4D" w:rsidRPr="009D7320" w:rsidTr="00404BAE">
        <w:trPr>
          <w:trHeight w:val="269"/>
        </w:trPr>
        <w:tc>
          <w:tcPr>
            <w:tcW w:w="750" w:type="pct"/>
            <w:shd w:val="clear" w:color="auto" w:fill="948A54" w:themeFill="background2" w:themeFillShade="80"/>
          </w:tcPr>
          <w:p w:rsidR="00BB3E4D" w:rsidRPr="009D7320" w:rsidRDefault="00BB3E4D" w:rsidP="00404BAE">
            <w:pPr>
              <w:rPr>
                <w:b/>
              </w:rPr>
            </w:pPr>
            <w:r w:rsidRPr="009D7320">
              <w:rPr>
                <w:b/>
              </w:rPr>
              <w:t>Date</w:t>
            </w:r>
          </w:p>
        </w:tc>
        <w:tc>
          <w:tcPr>
            <w:tcW w:w="537" w:type="pct"/>
            <w:shd w:val="clear" w:color="auto" w:fill="948A54" w:themeFill="background2" w:themeFillShade="80"/>
          </w:tcPr>
          <w:p w:rsidR="00BB3E4D" w:rsidRPr="009D7320" w:rsidRDefault="00BB3E4D" w:rsidP="00404BAE">
            <w:pPr>
              <w:rPr>
                <w:b/>
              </w:rPr>
            </w:pPr>
            <w:r w:rsidRPr="009D7320">
              <w:rPr>
                <w:b/>
              </w:rPr>
              <w:t>Time</w:t>
            </w:r>
          </w:p>
        </w:tc>
        <w:tc>
          <w:tcPr>
            <w:tcW w:w="2738" w:type="pct"/>
            <w:gridSpan w:val="2"/>
            <w:shd w:val="clear" w:color="auto" w:fill="948A54" w:themeFill="background2" w:themeFillShade="80"/>
          </w:tcPr>
          <w:p w:rsidR="00BB3E4D" w:rsidRPr="009D7320" w:rsidRDefault="00BB3E4D" w:rsidP="00404BAE">
            <w:pPr>
              <w:rPr>
                <w:b/>
              </w:rPr>
            </w:pPr>
            <w:r w:rsidRPr="009D7320">
              <w:rPr>
                <w:b/>
              </w:rPr>
              <w:t>Speaker</w:t>
            </w:r>
          </w:p>
        </w:tc>
        <w:tc>
          <w:tcPr>
            <w:tcW w:w="975" w:type="pct"/>
            <w:shd w:val="clear" w:color="auto" w:fill="948A54" w:themeFill="background2" w:themeFillShade="80"/>
          </w:tcPr>
          <w:p w:rsidR="00BB3E4D" w:rsidRPr="009D7320" w:rsidRDefault="00BB3E4D" w:rsidP="00404BAE">
            <w:pPr>
              <w:rPr>
                <w:b/>
              </w:rPr>
            </w:pPr>
            <w:r w:rsidRPr="009D7320">
              <w:rPr>
                <w:b/>
              </w:rPr>
              <w:t>Session</w:t>
            </w:r>
          </w:p>
        </w:tc>
      </w:tr>
      <w:tr w:rsidR="00BB3E4D" w:rsidRPr="009D7320" w:rsidTr="00EF3DF5">
        <w:trPr>
          <w:trHeight w:val="886"/>
        </w:trPr>
        <w:tc>
          <w:tcPr>
            <w:tcW w:w="5000" w:type="pct"/>
            <w:gridSpan w:val="5"/>
            <w:shd w:val="clear" w:color="auto" w:fill="DDD9C3" w:themeFill="background2" w:themeFillShade="E6"/>
          </w:tcPr>
          <w:p w:rsidR="00BB3E4D" w:rsidRPr="009D7320" w:rsidRDefault="00BB3E4D" w:rsidP="00404BAE">
            <w:pPr>
              <w:rPr>
                <w:b/>
              </w:rPr>
            </w:pPr>
          </w:p>
          <w:p w:rsidR="00BB3E4D" w:rsidRPr="009D7320" w:rsidRDefault="00BB3E4D" w:rsidP="00404BAE">
            <w:pPr>
              <w:rPr>
                <w:b/>
              </w:rPr>
            </w:pPr>
            <w:r w:rsidRPr="009D7320">
              <w:rPr>
                <w:b/>
              </w:rPr>
              <w:t xml:space="preserve">Week 2 </w:t>
            </w:r>
          </w:p>
          <w:p w:rsidR="00BB3E4D" w:rsidRPr="009D7320" w:rsidRDefault="00BB3E4D" w:rsidP="00404BAE">
            <w:pPr>
              <w:rPr>
                <w:b/>
              </w:rPr>
            </w:pPr>
          </w:p>
        </w:tc>
      </w:tr>
      <w:tr w:rsidR="00B27337" w:rsidRPr="009D7320" w:rsidTr="00404BAE">
        <w:trPr>
          <w:trHeight w:val="269"/>
        </w:trPr>
        <w:tc>
          <w:tcPr>
            <w:tcW w:w="750" w:type="pct"/>
            <w:vMerge w:val="restart"/>
          </w:tcPr>
          <w:p w:rsidR="00B27337" w:rsidRPr="009D7320" w:rsidRDefault="00B27337" w:rsidP="00404BAE">
            <w:r w:rsidRPr="009D7320">
              <w:t xml:space="preserve">Monday 1 October </w:t>
            </w:r>
          </w:p>
        </w:tc>
        <w:tc>
          <w:tcPr>
            <w:tcW w:w="537" w:type="pct"/>
          </w:tcPr>
          <w:p w:rsidR="00B27337" w:rsidRPr="009D7320" w:rsidRDefault="00B809C7" w:rsidP="00EF3DF5">
            <w:r w:rsidRPr="009D7320">
              <w:t>10.00</w:t>
            </w:r>
            <w:r w:rsidR="001651DF" w:rsidRPr="009D7320">
              <w:t xml:space="preserve"> – 10.15</w:t>
            </w:r>
          </w:p>
        </w:tc>
        <w:tc>
          <w:tcPr>
            <w:tcW w:w="815" w:type="pct"/>
          </w:tcPr>
          <w:p w:rsidR="00B27337" w:rsidRPr="009D7320" w:rsidRDefault="001651DF" w:rsidP="00404BAE">
            <w:r w:rsidRPr="009D7320">
              <w:t>DVD</w:t>
            </w:r>
          </w:p>
        </w:tc>
        <w:tc>
          <w:tcPr>
            <w:tcW w:w="1923" w:type="pct"/>
          </w:tcPr>
          <w:p w:rsidR="00B27337" w:rsidRPr="009D7320" w:rsidRDefault="001651DF" w:rsidP="001651DF">
            <w:r w:rsidRPr="009D7320">
              <w:t>Health and Welfare at Imperial College</w:t>
            </w:r>
          </w:p>
        </w:tc>
        <w:tc>
          <w:tcPr>
            <w:tcW w:w="975" w:type="pct"/>
          </w:tcPr>
          <w:p w:rsidR="00B27337" w:rsidRPr="009D7320" w:rsidRDefault="001651DF" w:rsidP="00404BAE">
            <w:r w:rsidRPr="009D7320">
              <w:t>Roger Bannister</w:t>
            </w:r>
          </w:p>
        </w:tc>
      </w:tr>
      <w:tr w:rsidR="001651DF" w:rsidRPr="009D7320" w:rsidTr="00404BAE">
        <w:trPr>
          <w:trHeight w:val="269"/>
        </w:trPr>
        <w:tc>
          <w:tcPr>
            <w:tcW w:w="750" w:type="pct"/>
            <w:vMerge/>
          </w:tcPr>
          <w:p w:rsidR="001651DF" w:rsidRPr="009D7320" w:rsidRDefault="001651DF" w:rsidP="00404BAE"/>
        </w:tc>
        <w:tc>
          <w:tcPr>
            <w:tcW w:w="537" w:type="pct"/>
          </w:tcPr>
          <w:p w:rsidR="001651DF" w:rsidRPr="009D7320" w:rsidRDefault="001651DF" w:rsidP="00EF3DF5">
            <w:r w:rsidRPr="009D7320">
              <w:t>10.30-11.15</w:t>
            </w:r>
          </w:p>
        </w:tc>
        <w:tc>
          <w:tcPr>
            <w:tcW w:w="815" w:type="pct"/>
          </w:tcPr>
          <w:p w:rsidR="001651DF" w:rsidRPr="009D7320" w:rsidRDefault="001651DF" w:rsidP="00404BAE">
            <w:r w:rsidRPr="009D7320">
              <w:t>Helen Ward</w:t>
            </w:r>
          </w:p>
        </w:tc>
        <w:tc>
          <w:tcPr>
            <w:tcW w:w="1923" w:type="pct"/>
          </w:tcPr>
          <w:p w:rsidR="001651DF" w:rsidRPr="009D7320" w:rsidRDefault="004072B7" w:rsidP="00404BAE">
            <w:r w:rsidRPr="009D7320">
              <w:t xml:space="preserve">Lecture : </w:t>
            </w:r>
            <w:r w:rsidR="001651DF" w:rsidRPr="009D7320">
              <w:t>Globalisation</w:t>
            </w:r>
          </w:p>
        </w:tc>
        <w:tc>
          <w:tcPr>
            <w:tcW w:w="975" w:type="pct"/>
          </w:tcPr>
          <w:p w:rsidR="001651DF" w:rsidRPr="009D7320" w:rsidRDefault="001651DF" w:rsidP="00404BAE">
            <w:r w:rsidRPr="009D7320">
              <w:t>Roger Bannister</w:t>
            </w:r>
          </w:p>
        </w:tc>
      </w:tr>
      <w:tr w:rsidR="00B27337" w:rsidRPr="009D7320" w:rsidTr="00404BAE">
        <w:trPr>
          <w:trHeight w:val="269"/>
        </w:trPr>
        <w:tc>
          <w:tcPr>
            <w:tcW w:w="750" w:type="pct"/>
            <w:vMerge/>
          </w:tcPr>
          <w:p w:rsidR="00B27337" w:rsidRPr="009D7320" w:rsidRDefault="00B27337" w:rsidP="00404BAE"/>
        </w:tc>
        <w:tc>
          <w:tcPr>
            <w:tcW w:w="537" w:type="pct"/>
          </w:tcPr>
          <w:p w:rsidR="00B27337" w:rsidRPr="009D7320" w:rsidRDefault="00B27337" w:rsidP="00EF3DF5">
            <w:r w:rsidRPr="009D7320">
              <w:t>11.30-12.30</w:t>
            </w:r>
          </w:p>
        </w:tc>
        <w:tc>
          <w:tcPr>
            <w:tcW w:w="815" w:type="pct"/>
          </w:tcPr>
          <w:p w:rsidR="00B27337" w:rsidRPr="009D7320" w:rsidRDefault="00B27337" w:rsidP="00404BAE">
            <w:r w:rsidRPr="009D7320">
              <w:t>Helen Ward</w:t>
            </w:r>
          </w:p>
        </w:tc>
        <w:tc>
          <w:tcPr>
            <w:tcW w:w="1923" w:type="pct"/>
          </w:tcPr>
          <w:p w:rsidR="00B27337" w:rsidRPr="009D7320" w:rsidRDefault="00B27337" w:rsidP="00404BAE">
            <w:r w:rsidRPr="009D7320">
              <w:t>Crash course in methods #3: Types of study in global health</w:t>
            </w:r>
          </w:p>
        </w:tc>
        <w:tc>
          <w:tcPr>
            <w:tcW w:w="975" w:type="pct"/>
          </w:tcPr>
          <w:p w:rsidR="00B27337" w:rsidRPr="009D7320" w:rsidRDefault="00B27337" w:rsidP="00404BAE">
            <w:r w:rsidRPr="009D7320">
              <w:t>Roger Bannister</w:t>
            </w:r>
          </w:p>
        </w:tc>
      </w:tr>
      <w:tr w:rsidR="00BB3E4D" w:rsidRPr="009D7320" w:rsidTr="00404BAE">
        <w:trPr>
          <w:trHeight w:val="269"/>
        </w:trPr>
        <w:tc>
          <w:tcPr>
            <w:tcW w:w="750" w:type="pct"/>
            <w:vMerge w:val="restart"/>
          </w:tcPr>
          <w:p w:rsidR="00BB3E4D" w:rsidRPr="009D7320" w:rsidRDefault="00BB3E4D" w:rsidP="00404BAE">
            <w:r w:rsidRPr="009D7320">
              <w:t>Tues 2 Oct</w:t>
            </w:r>
          </w:p>
        </w:tc>
        <w:tc>
          <w:tcPr>
            <w:tcW w:w="537" w:type="pct"/>
          </w:tcPr>
          <w:p w:rsidR="00BB3E4D" w:rsidRPr="009D7320" w:rsidRDefault="00BB3E4D" w:rsidP="00404BAE">
            <w:r w:rsidRPr="009D7320">
              <w:t>9.30-12.00</w:t>
            </w:r>
          </w:p>
        </w:tc>
        <w:tc>
          <w:tcPr>
            <w:tcW w:w="2738" w:type="pct"/>
            <w:gridSpan w:val="2"/>
            <w:vMerge w:val="restart"/>
          </w:tcPr>
          <w:p w:rsidR="00BB3E4D" w:rsidRPr="009D7320" w:rsidRDefault="00BB3E4D" w:rsidP="00404BAE">
            <w:pPr>
              <w:rPr>
                <w:b/>
              </w:rPr>
            </w:pPr>
            <w:r w:rsidRPr="009D7320">
              <w:rPr>
                <w:b/>
              </w:rPr>
              <w:t>Freshers’ Fair day</w:t>
            </w:r>
          </w:p>
        </w:tc>
        <w:tc>
          <w:tcPr>
            <w:tcW w:w="975" w:type="pct"/>
          </w:tcPr>
          <w:p w:rsidR="00BB3E4D" w:rsidRPr="009D7320" w:rsidRDefault="00BB3E4D" w:rsidP="00404BAE">
            <w:r w:rsidRPr="009D7320">
              <w:t>Rothschild LT</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13.00-15.00</w:t>
            </w:r>
          </w:p>
        </w:tc>
        <w:tc>
          <w:tcPr>
            <w:tcW w:w="2738" w:type="pct"/>
            <w:gridSpan w:val="2"/>
            <w:vMerge/>
          </w:tcPr>
          <w:p w:rsidR="00BB3E4D" w:rsidRPr="009D7320" w:rsidRDefault="00BB3E4D" w:rsidP="00404BAE">
            <w:pPr>
              <w:rPr>
                <w:color w:val="FF0000"/>
              </w:rPr>
            </w:pPr>
          </w:p>
        </w:tc>
        <w:tc>
          <w:tcPr>
            <w:tcW w:w="975" w:type="pct"/>
          </w:tcPr>
          <w:p w:rsidR="00BB3E4D" w:rsidRPr="009D7320" w:rsidRDefault="00BB3E4D" w:rsidP="00404BAE">
            <w:r w:rsidRPr="009D7320">
              <w:t>Rothschild LT</w:t>
            </w:r>
          </w:p>
        </w:tc>
      </w:tr>
      <w:tr w:rsidR="00BB3E4D" w:rsidRPr="009D7320" w:rsidTr="00404BAE">
        <w:trPr>
          <w:trHeight w:val="269"/>
        </w:trPr>
        <w:tc>
          <w:tcPr>
            <w:tcW w:w="750" w:type="pct"/>
            <w:vMerge w:val="restart"/>
          </w:tcPr>
          <w:p w:rsidR="00BB3E4D" w:rsidRPr="009D7320" w:rsidRDefault="00BB3E4D" w:rsidP="00404BAE">
            <w:r w:rsidRPr="009D7320">
              <w:t>Wed 3 Oct</w:t>
            </w:r>
          </w:p>
        </w:tc>
        <w:tc>
          <w:tcPr>
            <w:tcW w:w="537" w:type="pct"/>
          </w:tcPr>
          <w:p w:rsidR="00BB3E4D" w:rsidRPr="009D7320" w:rsidRDefault="003B1A16" w:rsidP="003B1A16">
            <w:r w:rsidRPr="009D7320">
              <w:t>9.3</w:t>
            </w:r>
            <w:r w:rsidR="00BB3E4D" w:rsidRPr="009D7320">
              <w:t>0- 1</w:t>
            </w:r>
            <w:r w:rsidRPr="009D7320">
              <w:t>0.30</w:t>
            </w:r>
          </w:p>
        </w:tc>
        <w:tc>
          <w:tcPr>
            <w:tcW w:w="815" w:type="pct"/>
          </w:tcPr>
          <w:p w:rsidR="00BB3E4D" w:rsidRPr="009D7320" w:rsidRDefault="003B1A16" w:rsidP="00404BAE">
            <w:r w:rsidRPr="009D7320">
              <w:t>Mariam Sbaiti</w:t>
            </w:r>
          </w:p>
        </w:tc>
        <w:tc>
          <w:tcPr>
            <w:tcW w:w="1923" w:type="pct"/>
          </w:tcPr>
          <w:p w:rsidR="00BB3E4D" w:rsidRPr="009D7320" w:rsidRDefault="003B1A16" w:rsidP="00404BAE">
            <w:r w:rsidRPr="009D7320">
              <w:t>Lecture: ABC of Health Policy</w:t>
            </w:r>
          </w:p>
        </w:tc>
        <w:tc>
          <w:tcPr>
            <w:tcW w:w="975" w:type="pct"/>
          </w:tcPr>
          <w:p w:rsidR="00BB3E4D" w:rsidRPr="009D7320" w:rsidRDefault="00BB3E4D" w:rsidP="00404BAE">
            <w:r w:rsidRPr="009D7320">
              <w:t>Cockburn Lecture Theatre</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11.00</w:t>
            </w:r>
            <w:r w:rsidR="003B1A16" w:rsidRPr="009D7320">
              <w:t xml:space="preserve"> – 12.</w:t>
            </w:r>
            <w:r w:rsidR="00EF3DF5" w:rsidRPr="009D7320">
              <w:t>0</w:t>
            </w:r>
            <w:r w:rsidR="003B1A16" w:rsidRPr="009D7320">
              <w:t>0</w:t>
            </w:r>
          </w:p>
        </w:tc>
        <w:tc>
          <w:tcPr>
            <w:tcW w:w="815" w:type="pct"/>
          </w:tcPr>
          <w:p w:rsidR="00BB3E4D" w:rsidRPr="009D7320" w:rsidRDefault="00EF3DF5" w:rsidP="00404BAE">
            <w:r w:rsidRPr="009D7320">
              <w:t xml:space="preserve">Helen Ward </w:t>
            </w:r>
          </w:p>
        </w:tc>
        <w:tc>
          <w:tcPr>
            <w:tcW w:w="1923" w:type="pct"/>
          </w:tcPr>
          <w:p w:rsidR="00BB3E4D" w:rsidRPr="009D7320" w:rsidRDefault="00EF3DF5" w:rsidP="00404BAE">
            <w:r w:rsidRPr="009D7320">
              <w:t>Crash Course in methods #4: Politics of evidence</w:t>
            </w:r>
          </w:p>
        </w:tc>
        <w:tc>
          <w:tcPr>
            <w:tcW w:w="975" w:type="pct"/>
          </w:tcPr>
          <w:p w:rsidR="00BB3E4D" w:rsidRPr="009D7320" w:rsidRDefault="00F930C7" w:rsidP="00404BAE">
            <w:r w:rsidRPr="009D7320">
              <w:t>Cockburn Lecture Theatre</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13.30-</w:t>
            </w:r>
          </w:p>
          <w:p w:rsidR="00BB3E4D" w:rsidRPr="009D7320" w:rsidRDefault="00BB3E4D" w:rsidP="00404BAE">
            <w:r w:rsidRPr="009D7320">
              <w:t>16.30</w:t>
            </w:r>
          </w:p>
        </w:tc>
        <w:tc>
          <w:tcPr>
            <w:tcW w:w="2738" w:type="pct"/>
            <w:gridSpan w:val="2"/>
          </w:tcPr>
          <w:p w:rsidR="00BB3E4D" w:rsidRPr="009D7320" w:rsidRDefault="00BB3E4D" w:rsidP="00404BAE">
            <w:r w:rsidRPr="009D7320">
              <w:t xml:space="preserve">Freshers’ Fair  </w:t>
            </w:r>
          </w:p>
          <w:p w:rsidR="00BB3E4D" w:rsidRPr="009D7320" w:rsidRDefault="00BB3E4D" w:rsidP="00404BAE"/>
          <w:p w:rsidR="00BB3E4D" w:rsidRPr="009D7320" w:rsidRDefault="00BB3E4D" w:rsidP="00404BAE"/>
        </w:tc>
        <w:tc>
          <w:tcPr>
            <w:tcW w:w="975" w:type="pct"/>
          </w:tcPr>
          <w:p w:rsidR="00BB3E4D" w:rsidRPr="009D7320" w:rsidRDefault="00BB3E4D" w:rsidP="00404BAE"/>
        </w:tc>
      </w:tr>
      <w:tr w:rsidR="00BB3E4D" w:rsidRPr="009D7320" w:rsidTr="00404BAE">
        <w:trPr>
          <w:trHeight w:val="269"/>
        </w:trPr>
        <w:tc>
          <w:tcPr>
            <w:tcW w:w="750" w:type="pct"/>
            <w:vMerge w:val="restart"/>
          </w:tcPr>
          <w:p w:rsidR="00BB3E4D" w:rsidRPr="009D7320" w:rsidRDefault="00BB3E4D" w:rsidP="00404BAE">
            <w:r w:rsidRPr="009D7320">
              <w:t xml:space="preserve">Thurs 4 Oct </w:t>
            </w:r>
          </w:p>
        </w:tc>
        <w:tc>
          <w:tcPr>
            <w:tcW w:w="537" w:type="pct"/>
          </w:tcPr>
          <w:p w:rsidR="00BB3E4D" w:rsidRPr="009D7320" w:rsidRDefault="00BB3E4D" w:rsidP="00404BAE">
            <w:r w:rsidRPr="009D7320">
              <w:t>9.30-12.30</w:t>
            </w:r>
          </w:p>
        </w:tc>
        <w:tc>
          <w:tcPr>
            <w:tcW w:w="815" w:type="pct"/>
          </w:tcPr>
          <w:p w:rsidR="00BB3E4D" w:rsidRPr="009D7320" w:rsidRDefault="00BB3E4D" w:rsidP="00404BAE">
            <w:r w:rsidRPr="009D7320">
              <w:t xml:space="preserve">Students </w:t>
            </w:r>
          </w:p>
        </w:tc>
        <w:tc>
          <w:tcPr>
            <w:tcW w:w="1923" w:type="pct"/>
          </w:tcPr>
          <w:p w:rsidR="00BB3E4D" w:rsidRPr="009D7320" w:rsidRDefault="00BB3E4D" w:rsidP="00404BAE">
            <w:r w:rsidRPr="009D7320">
              <w:t>ICA: Group presentations on the</w:t>
            </w:r>
          </w:p>
          <w:p w:rsidR="00BB3E4D" w:rsidRPr="009D7320" w:rsidRDefault="00BB3E4D" w:rsidP="00404BAE">
            <w:pPr>
              <w:rPr>
                <w:i/>
              </w:rPr>
            </w:pPr>
            <w:r w:rsidRPr="009D7320">
              <w:rPr>
                <w:i/>
              </w:rPr>
              <w:t>MDGs</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14.00-17.00</w:t>
            </w:r>
          </w:p>
        </w:tc>
        <w:tc>
          <w:tcPr>
            <w:tcW w:w="2738" w:type="pct"/>
            <w:gridSpan w:val="2"/>
          </w:tcPr>
          <w:p w:rsidR="00BB3E4D" w:rsidRPr="009D7320" w:rsidRDefault="00BB3E4D" w:rsidP="00404BAE">
            <w:r w:rsidRPr="009D7320">
              <w:t>Private Study or Tutorial group meetings</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val="restart"/>
          </w:tcPr>
          <w:p w:rsidR="00BB3E4D" w:rsidRPr="009D7320" w:rsidRDefault="00BB3E4D" w:rsidP="00404BAE">
            <w:r w:rsidRPr="009D7320">
              <w:t>Friday 5 Oct</w:t>
            </w:r>
          </w:p>
        </w:tc>
        <w:tc>
          <w:tcPr>
            <w:tcW w:w="537" w:type="pct"/>
          </w:tcPr>
          <w:p w:rsidR="00BB3E4D" w:rsidRPr="009D7320" w:rsidRDefault="00BB3E4D" w:rsidP="00404BAE">
            <w:r w:rsidRPr="009D7320">
              <w:t>9.30-12.30</w:t>
            </w:r>
          </w:p>
        </w:tc>
        <w:tc>
          <w:tcPr>
            <w:tcW w:w="2738" w:type="pct"/>
            <w:gridSpan w:val="2"/>
          </w:tcPr>
          <w:p w:rsidR="00BB3E4D" w:rsidRPr="009D7320" w:rsidRDefault="00BB3E4D" w:rsidP="00404BAE">
            <w:r w:rsidRPr="009D7320">
              <w:t>Private Study or Tutorial group meetings</w:t>
            </w:r>
          </w:p>
        </w:tc>
        <w:tc>
          <w:tcPr>
            <w:tcW w:w="975" w:type="pct"/>
          </w:tcPr>
          <w:p w:rsidR="00BB3E4D" w:rsidRPr="009D7320" w:rsidRDefault="00BB3E4D" w:rsidP="00404BAE">
            <w:r w:rsidRPr="009D7320">
              <w:t>Roger Bannister</w:t>
            </w:r>
          </w:p>
        </w:tc>
      </w:tr>
      <w:tr w:rsidR="00BB3E4D" w:rsidRPr="009D7320" w:rsidTr="00404BAE">
        <w:trPr>
          <w:trHeight w:val="269"/>
        </w:trPr>
        <w:tc>
          <w:tcPr>
            <w:tcW w:w="750" w:type="pct"/>
            <w:vMerge/>
          </w:tcPr>
          <w:p w:rsidR="00BB3E4D" w:rsidRPr="009D7320" w:rsidRDefault="00BB3E4D" w:rsidP="00404BAE"/>
        </w:tc>
        <w:tc>
          <w:tcPr>
            <w:tcW w:w="537" w:type="pct"/>
          </w:tcPr>
          <w:p w:rsidR="00BB3E4D" w:rsidRPr="009D7320" w:rsidRDefault="00BB3E4D" w:rsidP="00404BAE">
            <w:r w:rsidRPr="009D7320">
              <w:t>From 5pm</w:t>
            </w:r>
          </w:p>
        </w:tc>
        <w:tc>
          <w:tcPr>
            <w:tcW w:w="2738" w:type="pct"/>
            <w:gridSpan w:val="2"/>
          </w:tcPr>
          <w:p w:rsidR="00BB3E4D" w:rsidRPr="009D7320" w:rsidRDefault="004072B7" w:rsidP="00404BAE">
            <w:r w:rsidRPr="009D7320">
              <w:t>Drinks and nibbles</w:t>
            </w:r>
          </w:p>
        </w:tc>
        <w:tc>
          <w:tcPr>
            <w:tcW w:w="975" w:type="pct"/>
          </w:tcPr>
          <w:p w:rsidR="00BB3E4D" w:rsidRPr="009D7320" w:rsidRDefault="00BB3E4D" w:rsidP="00404BAE">
            <w:r w:rsidRPr="009D7320">
              <w:t>Fountains Abbey</w:t>
            </w:r>
          </w:p>
        </w:tc>
      </w:tr>
    </w:tbl>
    <w:p w:rsidR="006655C1" w:rsidRPr="009D7320" w:rsidRDefault="006655C1" w:rsidP="00661735">
      <w:pPr>
        <w:rPr>
          <w:rFonts w:asciiTheme="majorHAnsi" w:eastAsia="Calibri" w:hAnsiTheme="majorHAnsi" w:cs="MyriadPro-Bold"/>
          <w:bCs/>
          <w:sz w:val="22"/>
          <w:szCs w:val="22"/>
          <w:lang w:val="en-GB" w:eastAsia="en-GB"/>
        </w:rPr>
      </w:pPr>
    </w:p>
    <w:p w:rsidR="00C42794" w:rsidRPr="009D7320" w:rsidRDefault="00C42794" w:rsidP="00661735">
      <w:pPr>
        <w:rPr>
          <w:rFonts w:asciiTheme="majorHAnsi" w:eastAsia="Calibri" w:hAnsiTheme="majorHAnsi" w:cs="MyriadPro-Bold"/>
          <w:bCs/>
          <w:sz w:val="22"/>
          <w:szCs w:val="22"/>
          <w:lang w:val="en-GB" w:eastAsia="en-GB"/>
        </w:rPr>
      </w:pPr>
    </w:p>
    <w:p w:rsidR="00C42794" w:rsidRPr="009D7320" w:rsidRDefault="00C42794" w:rsidP="00661735">
      <w:pPr>
        <w:rPr>
          <w:rFonts w:asciiTheme="majorHAnsi" w:eastAsia="Calibri" w:hAnsiTheme="majorHAnsi" w:cs="MyriadPro-Bold"/>
          <w:bCs/>
          <w:sz w:val="22"/>
          <w:szCs w:val="22"/>
          <w:lang w:val="en-GB" w:eastAsia="en-GB"/>
        </w:rPr>
      </w:pPr>
    </w:p>
    <w:p w:rsidR="0049796A" w:rsidRPr="009D7320" w:rsidRDefault="00C42794" w:rsidP="00661735">
      <w:pPr>
        <w:rPr>
          <w:rFonts w:asciiTheme="majorHAnsi" w:eastAsia="Calibri" w:hAnsiTheme="majorHAnsi" w:cs="MyriadPro-Bold"/>
          <w:bCs/>
          <w:sz w:val="22"/>
          <w:szCs w:val="22"/>
          <w:lang w:val="en-GB" w:eastAsia="en-GB"/>
        </w:rPr>
        <w:sectPr w:rsidR="0049796A" w:rsidRPr="009D7320" w:rsidSect="009D7320">
          <w:pgSz w:w="16834" w:h="11904" w:orient="landscape" w:code="9"/>
          <w:pgMar w:top="1134" w:right="1134" w:bottom="1134" w:left="1134" w:header="567" w:footer="567" w:gutter="0"/>
          <w:cols w:space="708"/>
          <w:docGrid w:linePitch="360"/>
        </w:sectPr>
      </w:pPr>
      <w:r w:rsidRPr="009D7320">
        <w:rPr>
          <w:rFonts w:asciiTheme="majorHAnsi" w:eastAsia="Calibri" w:hAnsiTheme="majorHAnsi" w:cs="MyriadPro-Bold"/>
          <w:bCs/>
          <w:noProof/>
          <w:sz w:val="22"/>
          <w:szCs w:val="22"/>
          <w:lang w:val="en-GB" w:eastAsia="en-GB"/>
        </w:rPr>
        <w:drawing>
          <wp:inline distT="0" distB="0" distL="0" distR="0" wp14:anchorId="1B71B665" wp14:editId="746EFA75">
            <wp:extent cx="8244404" cy="5781675"/>
            <wp:effectExtent l="19050" t="19050" r="23296"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243579" cy="5781096"/>
                    </a:xfrm>
                    <a:prstGeom prst="rect">
                      <a:avLst/>
                    </a:prstGeom>
                    <a:noFill/>
                    <a:ln w="12700">
                      <a:solidFill>
                        <a:schemeClr val="tx1"/>
                      </a:solidFill>
                      <a:miter lim="800000"/>
                      <a:headEnd/>
                      <a:tailEnd/>
                    </a:ln>
                  </pic:spPr>
                </pic:pic>
              </a:graphicData>
            </a:graphic>
          </wp:inline>
        </w:drawing>
      </w:r>
    </w:p>
    <w:p w:rsidR="007D6ED6" w:rsidRPr="009D7320" w:rsidRDefault="005A4FCD" w:rsidP="009D7320">
      <w:pPr>
        <w:pStyle w:val="Heading1"/>
        <w:spacing w:before="0"/>
        <w:rPr>
          <w:rFonts w:eastAsia="Calibri"/>
          <w:lang w:val="en-GB" w:eastAsia="en-GB"/>
        </w:rPr>
      </w:pPr>
      <w:r w:rsidRPr="009D7320">
        <w:rPr>
          <w:rFonts w:eastAsia="Calibri"/>
          <w:lang w:val="en-GB" w:eastAsia="en-GB"/>
        </w:rPr>
        <w:t>W</w:t>
      </w:r>
      <w:r w:rsidR="007D6ED6" w:rsidRPr="009D7320">
        <w:rPr>
          <w:rFonts w:eastAsia="Calibri"/>
          <w:lang w:val="en-GB" w:eastAsia="en-GB"/>
        </w:rPr>
        <w:t>eek 1</w:t>
      </w:r>
    </w:p>
    <w:p w:rsidR="0049796A" w:rsidRPr="009D7320" w:rsidRDefault="0049796A" w:rsidP="009D7320">
      <w:pPr>
        <w:pStyle w:val="Default"/>
        <w:rPr>
          <w:rFonts w:asciiTheme="majorHAnsi" w:hAnsiTheme="majorHAnsi"/>
          <w:b/>
          <w:bCs/>
        </w:rPr>
      </w:pPr>
    </w:p>
    <w:p w:rsidR="0049796A" w:rsidRPr="009D7320" w:rsidRDefault="0049796A" w:rsidP="009D7320">
      <w:pPr>
        <w:pStyle w:val="Heading2"/>
        <w:spacing w:before="0"/>
      </w:pPr>
      <w:r w:rsidRPr="009D7320">
        <w:t xml:space="preserve">Seminar: What is Global Health? </w:t>
      </w:r>
    </w:p>
    <w:p w:rsidR="00293828" w:rsidRPr="009D7320" w:rsidRDefault="00293828" w:rsidP="009D7320"/>
    <w:p w:rsidR="00293828" w:rsidRPr="009D7320" w:rsidRDefault="00293828" w:rsidP="007D6ED6">
      <w:pPr>
        <w:pStyle w:val="Default"/>
        <w:rPr>
          <w:rFonts w:asciiTheme="majorHAnsi" w:hAnsiTheme="majorHAnsi"/>
          <w:bCs/>
        </w:rPr>
      </w:pPr>
      <w:r w:rsidRPr="009D7320">
        <w:rPr>
          <w:rFonts w:asciiTheme="majorHAnsi" w:hAnsiTheme="majorHAnsi"/>
          <w:bCs/>
        </w:rPr>
        <w:t xml:space="preserve">By the end of this session </w:t>
      </w:r>
      <w:r w:rsidR="000900D8" w:rsidRPr="009D7320">
        <w:rPr>
          <w:rFonts w:asciiTheme="majorHAnsi" w:hAnsiTheme="majorHAnsi"/>
          <w:bCs/>
        </w:rPr>
        <w:t>you s</w:t>
      </w:r>
      <w:r w:rsidRPr="009D7320">
        <w:rPr>
          <w:rFonts w:asciiTheme="majorHAnsi" w:hAnsiTheme="majorHAnsi"/>
          <w:bCs/>
        </w:rPr>
        <w:t>hould be</w:t>
      </w:r>
      <w:r w:rsidR="000900D8" w:rsidRPr="009D7320">
        <w:rPr>
          <w:rFonts w:asciiTheme="majorHAnsi" w:hAnsiTheme="majorHAnsi"/>
          <w:bCs/>
        </w:rPr>
        <w:t xml:space="preserve"> able to</w:t>
      </w:r>
      <w:r w:rsidRPr="009D7320">
        <w:rPr>
          <w:rFonts w:asciiTheme="majorHAnsi" w:hAnsiTheme="majorHAnsi"/>
          <w:bCs/>
        </w:rPr>
        <w:t xml:space="preserve">: </w:t>
      </w:r>
    </w:p>
    <w:p w:rsidR="0049796A" w:rsidRPr="009D7320" w:rsidRDefault="000900D8" w:rsidP="00293828">
      <w:pPr>
        <w:pStyle w:val="Default"/>
        <w:numPr>
          <w:ilvl w:val="0"/>
          <w:numId w:val="23"/>
        </w:numPr>
        <w:rPr>
          <w:rFonts w:asciiTheme="majorHAnsi" w:hAnsiTheme="majorHAnsi"/>
          <w:bCs/>
        </w:rPr>
      </w:pPr>
      <w:r w:rsidRPr="009D7320">
        <w:rPr>
          <w:rFonts w:asciiTheme="majorHAnsi" w:hAnsiTheme="majorHAnsi"/>
          <w:bCs/>
        </w:rPr>
        <w:t>Describe the</w:t>
      </w:r>
      <w:r w:rsidR="00293828" w:rsidRPr="009D7320">
        <w:rPr>
          <w:rFonts w:asciiTheme="majorHAnsi" w:hAnsiTheme="majorHAnsi"/>
          <w:bCs/>
        </w:rPr>
        <w:t xml:space="preserve"> </w:t>
      </w:r>
      <w:r w:rsidRPr="009D7320">
        <w:rPr>
          <w:rFonts w:asciiTheme="majorHAnsi" w:hAnsiTheme="majorHAnsi"/>
          <w:bCs/>
        </w:rPr>
        <w:t>differences between existing</w:t>
      </w:r>
      <w:r w:rsidR="00293828" w:rsidRPr="009D7320">
        <w:rPr>
          <w:rFonts w:asciiTheme="majorHAnsi" w:hAnsiTheme="majorHAnsi"/>
          <w:bCs/>
        </w:rPr>
        <w:t xml:space="preserve"> definitions of Global health and </w:t>
      </w:r>
      <w:r w:rsidRPr="009D7320">
        <w:rPr>
          <w:rFonts w:asciiTheme="majorHAnsi" w:hAnsiTheme="majorHAnsi"/>
          <w:bCs/>
        </w:rPr>
        <w:t xml:space="preserve">the </w:t>
      </w:r>
      <w:r w:rsidR="00293828" w:rsidRPr="009D7320">
        <w:rPr>
          <w:rFonts w:asciiTheme="majorHAnsi" w:hAnsiTheme="majorHAnsi"/>
          <w:bCs/>
        </w:rPr>
        <w:t xml:space="preserve">implications of these. </w:t>
      </w:r>
    </w:p>
    <w:p w:rsidR="000900D8" w:rsidRPr="009D7320" w:rsidRDefault="000900D8" w:rsidP="00293828">
      <w:pPr>
        <w:pStyle w:val="Default"/>
        <w:numPr>
          <w:ilvl w:val="0"/>
          <w:numId w:val="23"/>
        </w:numPr>
        <w:rPr>
          <w:rFonts w:asciiTheme="majorHAnsi" w:hAnsiTheme="majorHAnsi"/>
          <w:bCs/>
        </w:rPr>
      </w:pPr>
      <w:r w:rsidRPr="009D7320">
        <w:rPr>
          <w:rFonts w:asciiTheme="majorHAnsi" w:hAnsiTheme="majorHAnsi"/>
          <w:bCs/>
        </w:rPr>
        <w:t>Discuss the relevance of a global health perspective in explaining global health inequalities</w:t>
      </w:r>
    </w:p>
    <w:p w:rsidR="009D7320" w:rsidRDefault="009D7320" w:rsidP="009D7320">
      <w:pPr>
        <w:pStyle w:val="Heading4"/>
        <w:spacing w:before="0"/>
      </w:pPr>
    </w:p>
    <w:p w:rsidR="0049796A" w:rsidRPr="009D7320" w:rsidRDefault="00542C24" w:rsidP="009D7320">
      <w:pPr>
        <w:pStyle w:val="Heading4"/>
        <w:spacing w:before="0" w:after="100"/>
      </w:pPr>
      <w:r w:rsidRPr="009D7320">
        <w:t>Essential</w:t>
      </w:r>
      <w:r w:rsidR="0049796A" w:rsidRPr="009D7320">
        <w:t xml:space="preserve"> Reading: </w:t>
      </w:r>
    </w:p>
    <w:p w:rsidR="0049796A" w:rsidRPr="009D7320" w:rsidRDefault="0049796A" w:rsidP="0049796A">
      <w:pPr>
        <w:pStyle w:val="Default"/>
        <w:rPr>
          <w:rFonts w:asciiTheme="majorHAnsi" w:hAnsiTheme="majorHAnsi"/>
          <w:bCs/>
        </w:rPr>
      </w:pPr>
      <w:r w:rsidRPr="009D7320">
        <w:rPr>
          <w:rFonts w:asciiTheme="majorHAnsi" w:hAnsiTheme="majorHAnsi"/>
          <w:bCs/>
          <w:lang w:val="it-IT"/>
        </w:rPr>
        <w:t xml:space="preserve">Ruiz Cantero MT et al. </w:t>
      </w:r>
      <w:r w:rsidRPr="009D7320">
        <w:rPr>
          <w:rFonts w:asciiTheme="majorHAnsi" w:hAnsiTheme="majorHAnsi"/>
          <w:bCs/>
        </w:rPr>
        <w:t>The myopia of governments contributes to maternal mortality: dying from socioeconomic and physical distances. J Epidemiol Community Health 2007;61:370–371.</w:t>
      </w:r>
    </w:p>
    <w:p w:rsidR="009D7320" w:rsidRDefault="009D7320" w:rsidP="009D7320">
      <w:pPr>
        <w:pStyle w:val="Heading4"/>
        <w:spacing w:before="0"/>
      </w:pPr>
    </w:p>
    <w:p w:rsidR="000900D8" w:rsidRPr="009D7320" w:rsidRDefault="000900D8" w:rsidP="009D7320">
      <w:pPr>
        <w:pStyle w:val="Heading4"/>
        <w:spacing w:before="0" w:after="100"/>
      </w:pPr>
      <w:r w:rsidRPr="009D7320">
        <w:t>Further reading</w:t>
      </w:r>
    </w:p>
    <w:p w:rsidR="000900D8" w:rsidRPr="009D7320" w:rsidRDefault="000900D8" w:rsidP="000900D8">
      <w:r w:rsidRPr="009D7320">
        <w:t>Beaglehole R and Bonita R. What is Global Health? Glob Health Action. 2010; 3: 10.</w:t>
      </w:r>
    </w:p>
    <w:p w:rsidR="000900D8" w:rsidRPr="009D7320" w:rsidRDefault="000900D8" w:rsidP="000900D8"/>
    <w:p w:rsidR="000900D8" w:rsidRPr="009D7320" w:rsidRDefault="000900D8" w:rsidP="000900D8">
      <w:r w:rsidRPr="009D7320">
        <w:t>Bozorgmehr (2010). Rethinking the “global” in Global Health: a dialectic approach”. Globalization and Health 6:19</w:t>
      </w:r>
    </w:p>
    <w:p w:rsidR="000900D8" w:rsidRPr="009D7320" w:rsidRDefault="000900D8" w:rsidP="000900D8"/>
    <w:p w:rsidR="000900D8" w:rsidRPr="009D7320" w:rsidRDefault="000900D8" w:rsidP="000900D8">
      <w:r w:rsidRPr="009D7320">
        <w:t>Fried LP, Bentley ME, Buekens P, Burke DS, Frenk JJ, KlagMJ, et al. Global health is public health. Lancet 2010; 375: 535-7.</w:t>
      </w:r>
    </w:p>
    <w:p w:rsidR="000900D8" w:rsidRPr="009D7320" w:rsidRDefault="000900D8" w:rsidP="000900D8"/>
    <w:p w:rsidR="000900D8" w:rsidRPr="009D7320" w:rsidRDefault="000900D8" w:rsidP="000900D8">
      <w:r w:rsidRPr="009D7320">
        <w:t>Kickbush, I. (2006). The need for a European strategy on global health. Scandinavian Journal of Public Health, 34(6), 34(6), 561–565.</w:t>
      </w:r>
    </w:p>
    <w:p w:rsidR="000900D8" w:rsidRPr="009D7320" w:rsidRDefault="000900D8" w:rsidP="000900D8"/>
    <w:p w:rsidR="000900D8" w:rsidRPr="009D7320" w:rsidRDefault="000900D8" w:rsidP="000900D8">
      <w:r w:rsidRPr="009D7320">
        <w:t xml:space="preserve">Koplan JP, Bond TC, Merson MH, et al (2009). Towards a common definition of global health. Lancet 373:1993-1995. </w:t>
      </w:r>
    </w:p>
    <w:p w:rsidR="000900D8" w:rsidRPr="009D7320" w:rsidRDefault="000900D8" w:rsidP="000900D8"/>
    <w:p w:rsidR="000900D8" w:rsidRPr="009D7320" w:rsidRDefault="000900D8" w:rsidP="000900D8">
      <w:pPr>
        <w:pStyle w:val="Default"/>
        <w:rPr>
          <w:rFonts w:asciiTheme="majorHAnsi" w:hAnsiTheme="majorHAnsi"/>
          <w:bCs/>
        </w:rPr>
      </w:pPr>
      <w:r w:rsidRPr="009D7320">
        <w:rPr>
          <w:rFonts w:asciiTheme="majorHAnsi" w:hAnsiTheme="majorHAnsi"/>
          <w:bCs/>
        </w:rPr>
        <w:t>Piot P, Garnett G. Health is global. Lancet 2009,374:1122-1123</w:t>
      </w:r>
    </w:p>
    <w:p w:rsidR="000900D8" w:rsidRPr="009D7320" w:rsidRDefault="000900D8" w:rsidP="000900D8"/>
    <w:p w:rsidR="000900D8" w:rsidRPr="009D7320" w:rsidRDefault="000900D8" w:rsidP="000900D8">
      <w:r w:rsidRPr="009D7320">
        <w:t>Rowson M, Hughes R, Smith A, Maini A, Martin S, Miranda JJ, Pollit V, Wake R, Willott C, Yudkin JS (2007). Global Health and medical education - definitions, rationale and practice. Unpublished Work</w:t>
      </w:r>
    </w:p>
    <w:p w:rsidR="002E43DD" w:rsidRPr="009D7320" w:rsidRDefault="002E43DD" w:rsidP="002E43DD"/>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2E43DD" w:rsidRPr="009D7320" w:rsidTr="00404BAE">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2E43DD" w:rsidRPr="009D7320" w:rsidTr="00404BAE">
        <w:trPr>
          <w:trHeight w:val="684"/>
          <w:tblHeader/>
        </w:trPr>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2E43DD" w:rsidRPr="009D7320" w:rsidRDefault="002E43DD" w:rsidP="00404BAE">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Disagree</w:t>
            </w:r>
          </w:p>
        </w:tc>
      </w:tr>
      <w:tr w:rsidR="002E43DD" w:rsidRPr="009D7320" w:rsidTr="00404BAE">
        <w:trPr>
          <w:trHeight w:val="355"/>
        </w:trPr>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r>
    </w:tbl>
    <w:p w:rsidR="002E43DD" w:rsidRPr="009D7320" w:rsidRDefault="002E43DD" w:rsidP="002E43DD">
      <w:pPr>
        <w:rPr>
          <w:rStyle w:val="Strong"/>
          <w:b w:val="0"/>
          <w:sz w:val="20"/>
          <w:szCs w:val="20"/>
        </w:rPr>
      </w:pPr>
    </w:p>
    <w:p w:rsidR="002E43DD" w:rsidRPr="009D7320" w:rsidRDefault="002E43DD" w:rsidP="002E43DD">
      <w:pPr>
        <w:rPr>
          <w:rStyle w:val="Strong"/>
          <w:b w:val="0"/>
          <w:sz w:val="20"/>
          <w:szCs w:val="20"/>
        </w:rPr>
      </w:pPr>
    </w:p>
    <w:p w:rsidR="002E43DD" w:rsidRPr="009D7320" w:rsidRDefault="00412352" w:rsidP="002E43DD">
      <w:pPr>
        <w:rPr>
          <w:rStyle w:val="Strong"/>
          <w:b w:val="0"/>
          <w:sz w:val="20"/>
          <w:szCs w:val="20"/>
        </w:rPr>
      </w:pPr>
      <w:r w:rsidRPr="009D7320">
        <w:rPr>
          <w:rStyle w:val="Strong"/>
          <w:b w:val="0"/>
          <w:sz w:val="20"/>
          <w:szCs w:val="20"/>
        </w:rPr>
        <w:t>One useful learning point I would like to remember from this session:</w:t>
      </w:r>
    </w:p>
    <w:p w:rsidR="002E43DD" w:rsidRPr="009D7320" w:rsidRDefault="002E43DD" w:rsidP="002E43DD">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2E43DD" w:rsidRPr="009D7320" w:rsidTr="00404BAE">
        <w:tc>
          <w:tcPr>
            <w:tcW w:w="10206" w:type="dxa"/>
          </w:tcPr>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tc>
      </w:tr>
    </w:tbl>
    <w:p w:rsidR="002E43DD" w:rsidRPr="009D7320" w:rsidRDefault="002E43DD" w:rsidP="0049796A">
      <w:pPr>
        <w:pStyle w:val="Default"/>
        <w:rPr>
          <w:rFonts w:asciiTheme="majorHAnsi" w:hAnsiTheme="majorHAnsi"/>
          <w:bCs/>
          <w:lang w:val="en-US"/>
        </w:rPr>
      </w:pPr>
    </w:p>
    <w:p w:rsidR="002E43DD" w:rsidRPr="009D7320" w:rsidRDefault="002E43DD" w:rsidP="0049796A">
      <w:pPr>
        <w:pStyle w:val="Default"/>
        <w:rPr>
          <w:rFonts w:asciiTheme="majorHAnsi" w:hAnsiTheme="majorHAnsi"/>
          <w:bCs/>
          <w:lang w:val="en-US"/>
        </w:rPr>
      </w:pPr>
    </w:p>
    <w:p w:rsidR="002E43DD" w:rsidRPr="009D7320" w:rsidRDefault="002E43DD" w:rsidP="009D7320">
      <w:pPr>
        <w:pStyle w:val="Heading2"/>
        <w:spacing w:before="0"/>
      </w:pPr>
      <w:r w:rsidRPr="009D7320">
        <w:t>Seminar: Introduction to the Global Health BSc –</w:t>
      </w:r>
      <w:r w:rsidR="00C25148" w:rsidRPr="009D7320">
        <w:t xml:space="preserve"> Q</w:t>
      </w:r>
      <w:r w:rsidR="000900D8" w:rsidRPr="009D7320">
        <w:t>&amp;</w:t>
      </w:r>
      <w:r w:rsidRPr="009D7320">
        <w:t>As</w:t>
      </w:r>
    </w:p>
    <w:p w:rsidR="000900D8" w:rsidRPr="009D7320" w:rsidRDefault="000900D8" w:rsidP="000900D8"/>
    <w:p w:rsidR="000900D8" w:rsidRPr="009D7320" w:rsidRDefault="000900D8" w:rsidP="000900D8">
      <w:r w:rsidRPr="009D7320">
        <w:t>This session will introduce the structure of the course, including contents and basic advice on learning</w:t>
      </w:r>
      <w:r w:rsidR="00D921BC" w:rsidRPr="009D7320">
        <w:t xml:space="preserve"> strategies and accessing learning resources</w:t>
      </w:r>
      <w:r w:rsidRPr="009D7320">
        <w:t xml:space="preserve">.  It also covers your roles and responsibilities as a BSc student. This includes essential information on the support available to you through your degree, academic integrity, plagiarism and attendance. </w:t>
      </w:r>
    </w:p>
    <w:p w:rsidR="002E43DD" w:rsidRPr="009D7320" w:rsidRDefault="002E43DD" w:rsidP="0049796A">
      <w:pPr>
        <w:pStyle w:val="Default"/>
        <w:rPr>
          <w:rFonts w:asciiTheme="majorHAnsi" w:hAnsiTheme="majorHAnsi"/>
          <w:bCs/>
          <w:lang w:val="en-US"/>
        </w:rPr>
      </w:pPr>
    </w:p>
    <w:p w:rsidR="002E43DD" w:rsidRPr="009D7320" w:rsidRDefault="002E43DD" w:rsidP="002E43DD"/>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2E43DD" w:rsidRPr="009D7320" w:rsidTr="00404BAE">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2E43DD" w:rsidRPr="009D7320" w:rsidRDefault="002E43DD" w:rsidP="00404BAE">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2E43DD" w:rsidRPr="009D7320" w:rsidTr="00404BAE">
        <w:trPr>
          <w:trHeight w:val="684"/>
          <w:tblHeader/>
        </w:trPr>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2E43DD" w:rsidRPr="009D7320" w:rsidRDefault="002E43DD" w:rsidP="00404BAE">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2E43DD" w:rsidRPr="009D7320" w:rsidRDefault="002E43DD" w:rsidP="00404BAE">
            <w:pPr>
              <w:rPr>
                <w:rFonts w:ascii="Arial" w:hAnsi="Arial" w:cs="Arial"/>
                <w:sz w:val="12"/>
                <w:szCs w:val="12"/>
              </w:rPr>
            </w:pPr>
            <w:r w:rsidRPr="009D7320">
              <w:rPr>
                <w:rFonts w:ascii="Arial" w:hAnsi="Arial" w:cs="Arial"/>
                <w:sz w:val="12"/>
                <w:szCs w:val="12"/>
              </w:rPr>
              <w:t>Strongly Disagree</w:t>
            </w:r>
          </w:p>
        </w:tc>
      </w:tr>
      <w:tr w:rsidR="002E43DD" w:rsidRPr="009D7320" w:rsidTr="00404BAE">
        <w:trPr>
          <w:trHeight w:val="355"/>
        </w:trPr>
        <w:tc>
          <w:tcPr>
            <w:tcW w:w="709"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2E43DD" w:rsidRPr="009D7320" w:rsidRDefault="002E43DD" w:rsidP="00404BAE">
            <w:pPr>
              <w:jc w:val="center"/>
              <w:rPr>
                <w:rFonts w:ascii="Arial" w:hAnsi="Arial" w:cs="Arial"/>
                <w:sz w:val="12"/>
                <w:szCs w:val="12"/>
              </w:rPr>
            </w:pPr>
            <w:r w:rsidRPr="009D7320">
              <w:rPr>
                <w:rFonts w:ascii="Arial" w:hAnsi="Arial" w:cs="Arial"/>
                <w:sz w:val="12"/>
                <w:szCs w:val="12"/>
              </w:rPr>
              <w:sym w:font="Symbol" w:char="F07F"/>
            </w:r>
          </w:p>
        </w:tc>
      </w:tr>
    </w:tbl>
    <w:p w:rsidR="002E43DD" w:rsidRPr="009D7320" w:rsidRDefault="002E43DD" w:rsidP="002E43DD">
      <w:pPr>
        <w:rPr>
          <w:rStyle w:val="Strong"/>
          <w:b w:val="0"/>
          <w:sz w:val="20"/>
          <w:szCs w:val="20"/>
        </w:rPr>
      </w:pPr>
    </w:p>
    <w:p w:rsidR="002E43DD" w:rsidRPr="009D7320" w:rsidRDefault="002E43DD" w:rsidP="002E43DD">
      <w:pPr>
        <w:rPr>
          <w:rStyle w:val="Strong"/>
          <w:b w:val="0"/>
          <w:sz w:val="20"/>
          <w:szCs w:val="20"/>
        </w:rPr>
      </w:pPr>
    </w:p>
    <w:p w:rsidR="002E43DD" w:rsidRPr="009D7320" w:rsidRDefault="00412352" w:rsidP="002E43DD">
      <w:pPr>
        <w:rPr>
          <w:rStyle w:val="Strong"/>
          <w:b w:val="0"/>
          <w:sz w:val="20"/>
          <w:szCs w:val="20"/>
        </w:rPr>
      </w:pPr>
      <w:r w:rsidRPr="009D7320">
        <w:rPr>
          <w:rStyle w:val="Strong"/>
          <w:b w:val="0"/>
          <w:sz w:val="20"/>
          <w:szCs w:val="20"/>
        </w:rPr>
        <w:t>One useful learning point I would like to remember from this session:</w:t>
      </w:r>
    </w:p>
    <w:p w:rsidR="002E43DD" w:rsidRPr="009D7320" w:rsidRDefault="002E43DD" w:rsidP="002E43DD">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2E43DD" w:rsidRPr="009D7320" w:rsidTr="00404BAE">
        <w:tc>
          <w:tcPr>
            <w:tcW w:w="10206" w:type="dxa"/>
          </w:tcPr>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p w:rsidR="002E43DD" w:rsidRPr="009D7320" w:rsidRDefault="002E43DD" w:rsidP="00404BAE">
            <w:pPr>
              <w:rPr>
                <w:rFonts w:ascii="Arial" w:hAnsi="Arial" w:cs="Arial"/>
                <w:b/>
                <w:color w:val="FF0000"/>
                <w:sz w:val="20"/>
                <w:szCs w:val="20"/>
              </w:rPr>
            </w:pPr>
          </w:p>
        </w:tc>
      </w:tr>
    </w:tbl>
    <w:p w:rsidR="002E43DD" w:rsidRPr="009D7320" w:rsidRDefault="002E43DD" w:rsidP="0049796A">
      <w:pPr>
        <w:pStyle w:val="Default"/>
        <w:rPr>
          <w:rFonts w:asciiTheme="majorHAnsi" w:hAnsiTheme="majorHAnsi"/>
          <w:bCs/>
          <w:lang w:val="en-US"/>
        </w:rPr>
      </w:pPr>
    </w:p>
    <w:p w:rsidR="00542C24" w:rsidRPr="009D7320" w:rsidRDefault="00542C24" w:rsidP="00542C24"/>
    <w:p w:rsidR="00D973C2" w:rsidRPr="009D7320" w:rsidRDefault="00D973C2" w:rsidP="00D973C2">
      <w:pPr>
        <w:pStyle w:val="Heading2"/>
      </w:pPr>
      <w:r w:rsidRPr="009D7320">
        <w:t>Practical on Plagiarism Training</w:t>
      </w:r>
    </w:p>
    <w:p w:rsidR="00D973C2" w:rsidRPr="009D7320" w:rsidRDefault="00D973C2" w:rsidP="00542C24"/>
    <w:p w:rsidR="00D973C2" w:rsidRPr="009D7320" w:rsidRDefault="00D973C2" w:rsidP="00542C24">
      <w:r w:rsidRPr="009D7320">
        <w:t xml:space="preserve">This practical is compulsory. If you are not able to attend you are </w:t>
      </w:r>
      <w:r w:rsidR="002E5816" w:rsidRPr="009D7320">
        <w:t>required</w:t>
      </w:r>
      <w:r w:rsidRPr="009D7320">
        <w:t xml:space="preserve"> to contact the main tutor </w:t>
      </w:r>
      <w:r w:rsidR="002E5816" w:rsidRPr="009D7320">
        <w:t xml:space="preserve">as soon as possible </w:t>
      </w:r>
      <w:r w:rsidRPr="009D7320">
        <w:t xml:space="preserve">to rearrange this session. </w:t>
      </w:r>
      <w:r w:rsidR="002E5816" w:rsidRPr="009D7320">
        <w:t xml:space="preserve">All students are required to complete the relative online assessment. </w:t>
      </w:r>
    </w:p>
    <w:p w:rsidR="00DB7C11" w:rsidRPr="009D7320" w:rsidRDefault="00DB7C11" w:rsidP="00DB7C11">
      <w:pPr>
        <w:pStyle w:val="Default"/>
        <w:rPr>
          <w:rFonts w:asciiTheme="majorHAnsi" w:hAnsiTheme="majorHAnsi"/>
          <w:bCs/>
          <w:lang w:val="en-US"/>
        </w:rPr>
      </w:pPr>
    </w:p>
    <w:p w:rsidR="00DB7C11" w:rsidRPr="009D7320" w:rsidRDefault="00DB7C11" w:rsidP="00DB7C11"/>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DB7C11" w:rsidRPr="009D7320" w:rsidTr="006F3C8A">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DB7C11" w:rsidRPr="009D7320" w:rsidRDefault="00DB7C11" w:rsidP="006F3C8A">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DB7C11" w:rsidRPr="009D7320" w:rsidRDefault="00DB7C11" w:rsidP="006F3C8A">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DB7C11" w:rsidRPr="009D7320" w:rsidRDefault="00DB7C11" w:rsidP="006F3C8A">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DB7C11" w:rsidRPr="009D7320" w:rsidTr="006F3C8A">
        <w:trPr>
          <w:trHeight w:val="684"/>
          <w:tblHeader/>
        </w:trPr>
        <w:tc>
          <w:tcPr>
            <w:tcW w:w="709" w:type="dxa"/>
            <w:tcBorders>
              <w:top w:val="single" w:sz="4" w:space="0" w:color="auto"/>
              <w:left w:val="single" w:sz="4" w:space="0" w:color="auto"/>
              <w:bottom w:val="single" w:sz="4" w:space="0" w:color="auto"/>
              <w:right w:val="nil"/>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DB7C11" w:rsidRPr="009D7320" w:rsidRDefault="00DB7C11" w:rsidP="006F3C8A">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DB7C11" w:rsidRPr="009D7320" w:rsidRDefault="00DB7C11" w:rsidP="006F3C8A">
            <w:pPr>
              <w:rPr>
                <w:rFonts w:ascii="Arial" w:hAnsi="Arial" w:cs="Arial"/>
                <w:sz w:val="12"/>
                <w:szCs w:val="12"/>
              </w:rPr>
            </w:pPr>
            <w:r w:rsidRPr="009D7320">
              <w:rPr>
                <w:rFonts w:ascii="Arial" w:hAnsi="Arial" w:cs="Arial"/>
                <w:sz w:val="12"/>
                <w:szCs w:val="12"/>
              </w:rPr>
              <w:t>Strongly Disagree</w:t>
            </w:r>
          </w:p>
        </w:tc>
      </w:tr>
      <w:tr w:rsidR="00DB7C11" w:rsidRPr="009D7320" w:rsidTr="006F3C8A">
        <w:trPr>
          <w:trHeight w:val="355"/>
        </w:trPr>
        <w:tc>
          <w:tcPr>
            <w:tcW w:w="709" w:type="dxa"/>
            <w:tcBorders>
              <w:top w:val="single" w:sz="4" w:space="0" w:color="auto"/>
              <w:left w:val="single" w:sz="4" w:space="0" w:color="auto"/>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DB7C11" w:rsidRPr="009D7320" w:rsidRDefault="00DB7C11" w:rsidP="006F3C8A">
            <w:pPr>
              <w:jc w:val="center"/>
              <w:rPr>
                <w:rFonts w:ascii="Arial" w:hAnsi="Arial" w:cs="Arial"/>
                <w:sz w:val="12"/>
                <w:szCs w:val="12"/>
              </w:rPr>
            </w:pPr>
            <w:r w:rsidRPr="009D7320">
              <w:rPr>
                <w:rFonts w:ascii="Arial" w:hAnsi="Arial" w:cs="Arial"/>
                <w:sz w:val="12"/>
                <w:szCs w:val="12"/>
              </w:rPr>
              <w:sym w:font="Symbol" w:char="F07F"/>
            </w:r>
          </w:p>
        </w:tc>
      </w:tr>
    </w:tbl>
    <w:p w:rsidR="00DB7C11" w:rsidRPr="009D7320" w:rsidRDefault="00DB7C11" w:rsidP="00DB7C11">
      <w:pPr>
        <w:rPr>
          <w:rStyle w:val="Strong"/>
          <w:b w:val="0"/>
          <w:sz w:val="20"/>
          <w:szCs w:val="20"/>
        </w:rPr>
      </w:pPr>
    </w:p>
    <w:p w:rsidR="00DB7C11" w:rsidRPr="009D7320" w:rsidRDefault="00DB7C11" w:rsidP="00DB7C11">
      <w:pPr>
        <w:rPr>
          <w:rStyle w:val="Strong"/>
          <w:b w:val="0"/>
          <w:sz w:val="20"/>
          <w:szCs w:val="20"/>
        </w:rPr>
      </w:pPr>
    </w:p>
    <w:p w:rsidR="00DB7C11" w:rsidRPr="009D7320" w:rsidRDefault="00DB7C11" w:rsidP="00DB7C11">
      <w:pPr>
        <w:rPr>
          <w:rStyle w:val="Strong"/>
          <w:b w:val="0"/>
          <w:sz w:val="20"/>
          <w:szCs w:val="20"/>
        </w:rPr>
      </w:pPr>
      <w:r w:rsidRPr="009D7320">
        <w:rPr>
          <w:rStyle w:val="Strong"/>
          <w:b w:val="0"/>
          <w:sz w:val="20"/>
          <w:szCs w:val="20"/>
        </w:rPr>
        <w:t>One useful learning point I would like to remember from this session:</w:t>
      </w:r>
    </w:p>
    <w:p w:rsidR="00DB7C11" w:rsidRPr="009D7320" w:rsidRDefault="00DB7C11" w:rsidP="00DB7C11">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DB7C11" w:rsidRPr="009D7320" w:rsidTr="006F3C8A">
        <w:tc>
          <w:tcPr>
            <w:tcW w:w="10206" w:type="dxa"/>
          </w:tcPr>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p w:rsidR="00DB7C11" w:rsidRPr="009D7320" w:rsidRDefault="00DB7C11" w:rsidP="006F3C8A">
            <w:pPr>
              <w:rPr>
                <w:rFonts w:ascii="Arial" w:hAnsi="Arial" w:cs="Arial"/>
                <w:b/>
                <w:color w:val="FF0000"/>
                <w:sz w:val="20"/>
                <w:szCs w:val="20"/>
              </w:rPr>
            </w:pPr>
          </w:p>
        </w:tc>
      </w:tr>
    </w:tbl>
    <w:p w:rsidR="00DB7C11" w:rsidRPr="009D7320" w:rsidRDefault="00DB7C11" w:rsidP="00542C24"/>
    <w:p w:rsidR="00542C24" w:rsidRPr="009D7320" w:rsidRDefault="00031211" w:rsidP="000E0586">
      <w:pPr>
        <w:pStyle w:val="Heading2"/>
      </w:pPr>
      <w:r w:rsidRPr="009D7320">
        <w:t>The Millennium Development Goals and introduction to group work</w:t>
      </w:r>
    </w:p>
    <w:p w:rsidR="00031211" w:rsidRPr="009D7320" w:rsidRDefault="00031211" w:rsidP="00031211"/>
    <w:p w:rsidR="00031211" w:rsidRPr="009D7320" w:rsidRDefault="00031211" w:rsidP="00031211">
      <w:r w:rsidRPr="009D7320">
        <w:t xml:space="preserve">By the end of this session you should be able to: </w:t>
      </w:r>
    </w:p>
    <w:p w:rsidR="00031211" w:rsidRPr="009D7320" w:rsidRDefault="00031211" w:rsidP="00031211"/>
    <w:p w:rsidR="00031211" w:rsidRPr="009D7320" w:rsidRDefault="00031211" w:rsidP="00031211">
      <w:pPr>
        <w:pStyle w:val="ListParagraph"/>
        <w:numPr>
          <w:ilvl w:val="0"/>
          <w:numId w:val="32"/>
        </w:numPr>
      </w:pPr>
      <w:r w:rsidRPr="009D7320">
        <w:t>Describe the origins of the UN MDGs</w:t>
      </w:r>
    </w:p>
    <w:p w:rsidR="00031211" w:rsidRPr="009D7320" w:rsidRDefault="00031211" w:rsidP="00031211">
      <w:pPr>
        <w:pStyle w:val="ListParagraph"/>
        <w:numPr>
          <w:ilvl w:val="0"/>
          <w:numId w:val="32"/>
        </w:numPr>
      </w:pPr>
      <w:r w:rsidRPr="009D7320">
        <w:t>List each goal, and access information on each target and indicator</w:t>
      </w:r>
    </w:p>
    <w:p w:rsidR="00031211" w:rsidRPr="009D7320" w:rsidRDefault="00031211" w:rsidP="00031211">
      <w:pPr>
        <w:pStyle w:val="ListParagraph"/>
        <w:numPr>
          <w:ilvl w:val="0"/>
          <w:numId w:val="32"/>
        </w:numPr>
      </w:pPr>
      <w:r w:rsidRPr="009D7320">
        <w:t>Outline how progress toward the MDGs is measured</w:t>
      </w:r>
    </w:p>
    <w:p w:rsidR="00031211" w:rsidRPr="009D7320" w:rsidRDefault="00D5579F" w:rsidP="00031211">
      <w:pPr>
        <w:pStyle w:val="ListParagraph"/>
        <w:numPr>
          <w:ilvl w:val="0"/>
          <w:numId w:val="32"/>
        </w:numPr>
      </w:pPr>
      <w:r w:rsidRPr="009D7320">
        <w:t>C</w:t>
      </w:r>
      <w:r w:rsidR="00031211" w:rsidRPr="009D7320">
        <w:t>ritically discuss the UN MDGs initiative</w:t>
      </w:r>
    </w:p>
    <w:p w:rsidR="00031211" w:rsidRPr="009D7320" w:rsidRDefault="00031211" w:rsidP="00031211">
      <w:pPr>
        <w:pStyle w:val="ListParagraph"/>
        <w:numPr>
          <w:ilvl w:val="0"/>
          <w:numId w:val="32"/>
        </w:numPr>
      </w:pPr>
      <w:r w:rsidRPr="009D7320">
        <w:t>Understand the aim</w:t>
      </w:r>
      <w:r w:rsidR="00C25148" w:rsidRPr="009D7320">
        <w:t xml:space="preserve"> of</w:t>
      </w:r>
      <w:r w:rsidRPr="009D7320">
        <w:t xml:space="preserve"> the In-Course Assessment</w:t>
      </w:r>
    </w:p>
    <w:p w:rsidR="006E019E" w:rsidRPr="009D7320" w:rsidRDefault="006E019E" w:rsidP="006E019E">
      <w:pPr>
        <w:pStyle w:val="Heading4"/>
      </w:pPr>
    </w:p>
    <w:p w:rsidR="006E019E" w:rsidRPr="009D7320" w:rsidRDefault="006E019E" w:rsidP="006E019E">
      <w:pPr>
        <w:pStyle w:val="Heading4"/>
      </w:pPr>
      <w:r w:rsidRPr="009D7320">
        <w:t>Reference Reading</w:t>
      </w: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Hulme, D. (2010). IDS Bulletin, Volume 41. Number 1. Lessons from the Making of the MDGs: Human Development Meets Results-based Management in an Unfair World. Blackwell Publishing Limited. Accessible at: </w:t>
      </w:r>
      <w:hyperlink r:id="rId27" w:history="1">
        <w:r w:rsidRPr="009D7320">
          <w:rPr>
            <w:rStyle w:val="Hyperlink"/>
            <w:rFonts w:asciiTheme="majorHAnsi" w:eastAsia="Calibri" w:hAnsiTheme="majorHAnsi" w:cs="MyriadPro-Bold"/>
            <w:bCs/>
            <w:sz w:val="22"/>
            <w:szCs w:val="22"/>
            <w:u w:val="none"/>
            <w:lang w:val="en-GB" w:eastAsia="en-GB"/>
          </w:rPr>
          <w:t>http://onlinelibrary.wiley.com/doi/10.1111/j.1759-5436.2010.00099.x/pdf</w:t>
        </w:r>
      </w:hyperlink>
      <w:r w:rsidRPr="009D7320">
        <w:rPr>
          <w:rFonts w:asciiTheme="majorHAnsi" w:eastAsia="Calibri" w:hAnsiTheme="majorHAnsi" w:cs="MyriadPro-Bold"/>
          <w:bCs/>
          <w:sz w:val="22"/>
          <w:szCs w:val="22"/>
          <w:lang w:val="en-GB" w:eastAsia="en-GB"/>
        </w:rPr>
        <w:t xml:space="preserve"> </w:t>
      </w: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Sachs JD (2012). From Millennium Development Goals to Sustainable Development Goals, The Lancet 379(9832): 2206-2211. Accessible at: (http://www.sciencedirect.com/science/article/pii/S0140673612606850)</w:t>
      </w: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p>
    <w:p w:rsidR="006E019E" w:rsidRPr="009D7320" w:rsidRDefault="006E019E" w:rsidP="006E019E">
      <w:pPr>
        <w:autoSpaceDE w:val="0"/>
        <w:autoSpaceDN w:val="0"/>
        <w:adjustRightInd w:val="0"/>
        <w:rPr>
          <w:rFonts w:asciiTheme="majorHAnsi" w:eastAsia="Calibri" w:hAnsiTheme="majorHAnsi" w:cs="MyriadPro-Bold"/>
          <w:bCs/>
          <w:sz w:val="22"/>
          <w:szCs w:val="22"/>
          <w:lang w:val="en-GB" w:eastAsia="en-GB"/>
        </w:rPr>
      </w:pPr>
      <w:r w:rsidRPr="009D7320">
        <w:rPr>
          <w:rFonts w:asciiTheme="majorHAnsi" w:eastAsia="Calibri" w:hAnsiTheme="majorHAnsi" w:cs="MyriadPro-Bold"/>
          <w:bCs/>
          <w:sz w:val="22"/>
          <w:szCs w:val="22"/>
          <w:lang w:val="en-GB" w:eastAsia="en-GB"/>
        </w:rPr>
        <w:t xml:space="preserve">Vandemoortele, J. (2009). Development Policy Review. 27 (4): 355-371. The MDG Conundrum: Meeting the Targets Without Missing the Point. Blackwell Publishing. Accessible from: </w:t>
      </w:r>
      <w:hyperlink r:id="rId28" w:history="1">
        <w:r w:rsidRPr="009D7320">
          <w:rPr>
            <w:rStyle w:val="Hyperlink"/>
            <w:rFonts w:asciiTheme="majorHAnsi" w:eastAsia="Calibri" w:hAnsiTheme="majorHAnsi" w:cs="MyriadPro-Bold"/>
            <w:bCs/>
            <w:sz w:val="22"/>
            <w:szCs w:val="22"/>
            <w:u w:val="none"/>
            <w:lang w:val="en-GB" w:eastAsia="en-GB"/>
          </w:rPr>
          <w:t>http://www.chagghana.org/chag/assets/files/Vandermoortele_2009_MDGs[1].pdf</w:t>
        </w:r>
      </w:hyperlink>
      <w:r w:rsidRPr="009D7320">
        <w:rPr>
          <w:rFonts w:asciiTheme="majorHAnsi" w:eastAsia="Calibri" w:hAnsiTheme="majorHAnsi" w:cs="MyriadPro-Bold"/>
          <w:bCs/>
          <w:sz w:val="22"/>
          <w:szCs w:val="22"/>
          <w:lang w:val="en-GB" w:eastAsia="en-GB"/>
        </w:rPr>
        <w:t xml:space="preserve"> </w:t>
      </w:r>
    </w:p>
    <w:p w:rsidR="00412352" w:rsidRPr="009D7320" w:rsidRDefault="00412352" w:rsidP="00412352"/>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412352" w:rsidRPr="009D7320" w:rsidTr="006F3C8A">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412352" w:rsidRPr="009D7320" w:rsidRDefault="00412352" w:rsidP="006F3C8A">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412352" w:rsidRPr="009D7320" w:rsidRDefault="00412352" w:rsidP="006F3C8A">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412352" w:rsidRPr="009D7320" w:rsidRDefault="00412352" w:rsidP="006F3C8A">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412352" w:rsidRPr="009D7320" w:rsidTr="006F3C8A">
        <w:trPr>
          <w:trHeight w:val="684"/>
          <w:tblHeader/>
        </w:trPr>
        <w:tc>
          <w:tcPr>
            <w:tcW w:w="709" w:type="dxa"/>
            <w:tcBorders>
              <w:top w:val="single" w:sz="4" w:space="0" w:color="auto"/>
              <w:left w:val="single" w:sz="4" w:space="0" w:color="auto"/>
              <w:bottom w:val="single" w:sz="4" w:space="0" w:color="auto"/>
              <w:right w:val="nil"/>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412352" w:rsidRPr="009D7320" w:rsidRDefault="00412352" w:rsidP="006F3C8A">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412352" w:rsidRPr="009D7320" w:rsidRDefault="00412352" w:rsidP="006F3C8A">
            <w:pPr>
              <w:rPr>
                <w:rFonts w:ascii="Arial" w:hAnsi="Arial" w:cs="Arial"/>
                <w:sz w:val="12"/>
                <w:szCs w:val="12"/>
              </w:rPr>
            </w:pPr>
            <w:r w:rsidRPr="009D7320">
              <w:rPr>
                <w:rFonts w:ascii="Arial" w:hAnsi="Arial" w:cs="Arial"/>
                <w:sz w:val="12"/>
                <w:szCs w:val="12"/>
              </w:rPr>
              <w:t>Strongly Disagree</w:t>
            </w:r>
          </w:p>
        </w:tc>
      </w:tr>
      <w:tr w:rsidR="00412352" w:rsidRPr="009D7320" w:rsidTr="006F3C8A">
        <w:trPr>
          <w:trHeight w:val="355"/>
        </w:trPr>
        <w:tc>
          <w:tcPr>
            <w:tcW w:w="709" w:type="dxa"/>
            <w:tcBorders>
              <w:top w:val="single" w:sz="4" w:space="0" w:color="auto"/>
              <w:left w:val="single" w:sz="4" w:space="0" w:color="auto"/>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412352" w:rsidRPr="009D7320" w:rsidRDefault="00412352" w:rsidP="006F3C8A">
            <w:pPr>
              <w:jc w:val="center"/>
              <w:rPr>
                <w:rFonts w:ascii="Arial" w:hAnsi="Arial" w:cs="Arial"/>
                <w:sz w:val="12"/>
                <w:szCs w:val="12"/>
              </w:rPr>
            </w:pPr>
            <w:r w:rsidRPr="009D7320">
              <w:rPr>
                <w:rFonts w:ascii="Arial" w:hAnsi="Arial" w:cs="Arial"/>
                <w:sz w:val="12"/>
                <w:szCs w:val="12"/>
              </w:rPr>
              <w:sym w:font="Symbol" w:char="F07F"/>
            </w:r>
          </w:p>
        </w:tc>
      </w:tr>
    </w:tbl>
    <w:p w:rsidR="00412352" w:rsidRPr="009D7320" w:rsidRDefault="00412352" w:rsidP="00412352">
      <w:pPr>
        <w:rPr>
          <w:rStyle w:val="Strong"/>
          <w:b w:val="0"/>
          <w:sz w:val="20"/>
          <w:szCs w:val="20"/>
        </w:rPr>
      </w:pPr>
    </w:p>
    <w:p w:rsidR="00412352" w:rsidRPr="009D7320" w:rsidRDefault="00412352" w:rsidP="00412352">
      <w:pPr>
        <w:rPr>
          <w:rStyle w:val="Strong"/>
          <w:b w:val="0"/>
          <w:sz w:val="20"/>
          <w:szCs w:val="20"/>
        </w:rPr>
      </w:pPr>
    </w:p>
    <w:p w:rsidR="00412352" w:rsidRPr="009D7320" w:rsidRDefault="00412352" w:rsidP="00412352">
      <w:pPr>
        <w:rPr>
          <w:rStyle w:val="Strong"/>
          <w:b w:val="0"/>
          <w:sz w:val="20"/>
          <w:szCs w:val="20"/>
        </w:rPr>
      </w:pPr>
      <w:r w:rsidRPr="009D7320">
        <w:rPr>
          <w:rStyle w:val="Strong"/>
          <w:b w:val="0"/>
          <w:sz w:val="20"/>
          <w:szCs w:val="20"/>
        </w:rPr>
        <w:t>One useful learning point I would like to remember from this session:</w:t>
      </w:r>
    </w:p>
    <w:p w:rsidR="00412352" w:rsidRPr="009D7320" w:rsidRDefault="00412352" w:rsidP="00412352">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412352" w:rsidRPr="009D7320" w:rsidTr="006F3C8A">
        <w:tc>
          <w:tcPr>
            <w:tcW w:w="10206" w:type="dxa"/>
          </w:tcPr>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p w:rsidR="00412352" w:rsidRPr="009D7320" w:rsidRDefault="00412352" w:rsidP="006F3C8A">
            <w:pPr>
              <w:rPr>
                <w:rFonts w:ascii="Arial" w:hAnsi="Arial" w:cs="Arial"/>
                <w:b/>
                <w:color w:val="FF0000"/>
                <w:sz w:val="20"/>
                <w:szCs w:val="20"/>
              </w:rPr>
            </w:pPr>
          </w:p>
        </w:tc>
      </w:tr>
    </w:tbl>
    <w:p w:rsidR="006E019E" w:rsidRPr="009D7320" w:rsidRDefault="006E019E" w:rsidP="006E019E"/>
    <w:p w:rsidR="009D7320" w:rsidRDefault="009D7320" w:rsidP="009D7320">
      <w:pPr>
        <w:pStyle w:val="Heading2"/>
        <w:spacing w:before="0"/>
      </w:pPr>
    </w:p>
    <w:p w:rsidR="009D7320" w:rsidRDefault="009D7320">
      <w:r>
        <w:br w:type="page"/>
      </w:r>
    </w:p>
    <w:p w:rsidR="009D7320" w:rsidRPr="009D7320" w:rsidRDefault="009D7320" w:rsidP="009D7320"/>
    <w:p w:rsidR="0049796A" w:rsidRPr="009D7320" w:rsidRDefault="000E0586" w:rsidP="009D7320">
      <w:pPr>
        <w:pStyle w:val="Heading2"/>
        <w:spacing w:before="0"/>
      </w:pPr>
      <w:r w:rsidRPr="009D7320">
        <w:t>Introduction to the Humanities in Global Health stream</w:t>
      </w:r>
    </w:p>
    <w:p w:rsidR="000E0586" w:rsidRPr="009D7320" w:rsidRDefault="000E0586" w:rsidP="007D6ED6">
      <w:pPr>
        <w:pStyle w:val="Default"/>
        <w:rPr>
          <w:rFonts w:asciiTheme="majorHAnsi" w:hAnsiTheme="majorHAnsi"/>
          <w:b/>
          <w:bCs/>
        </w:rPr>
      </w:pPr>
    </w:p>
    <w:p w:rsidR="000E0586" w:rsidRPr="009D7320" w:rsidRDefault="000E0586" w:rsidP="000E0586">
      <w:pPr>
        <w:pStyle w:val="Default"/>
        <w:rPr>
          <w:rFonts w:asciiTheme="majorHAnsi" w:hAnsiTheme="majorHAnsi"/>
          <w:bCs/>
        </w:rPr>
      </w:pPr>
      <w:r w:rsidRPr="009D7320">
        <w:rPr>
          <w:rFonts w:asciiTheme="majorHAnsi" w:hAnsiTheme="majorHAnsi"/>
          <w:bCs/>
        </w:rPr>
        <w:t xml:space="preserve">Speakers: Kelley Swain with guest Matt Rinaldi        </w:t>
      </w:r>
    </w:p>
    <w:p w:rsidR="000E0586" w:rsidRPr="009D7320" w:rsidRDefault="000E0586" w:rsidP="000E0586">
      <w:pPr>
        <w:pStyle w:val="Default"/>
        <w:rPr>
          <w:rFonts w:asciiTheme="majorHAnsi" w:hAnsiTheme="majorHAnsi"/>
          <w:bCs/>
        </w:rPr>
      </w:pPr>
      <w:r w:rsidRPr="009D7320">
        <w:rPr>
          <w:rFonts w:asciiTheme="majorHAnsi" w:hAnsiTheme="majorHAnsi"/>
          <w:bCs/>
        </w:rPr>
        <w:t xml:space="preserve">Please see Appendix for lecture notes. </w:t>
      </w:r>
    </w:p>
    <w:p w:rsidR="000E0586" w:rsidRPr="009D7320" w:rsidRDefault="000E0586" w:rsidP="000E0586">
      <w:pPr>
        <w:pStyle w:val="Default"/>
        <w:rPr>
          <w:rFonts w:asciiTheme="majorHAnsi" w:hAnsiTheme="majorHAnsi"/>
          <w:bCs/>
        </w:rPr>
      </w:pPr>
    </w:p>
    <w:p w:rsidR="000E0586" w:rsidRPr="009D7320" w:rsidRDefault="00D70A6D" w:rsidP="000E0586">
      <w:pPr>
        <w:pStyle w:val="Default"/>
        <w:rPr>
          <w:rFonts w:asciiTheme="majorHAnsi" w:hAnsiTheme="majorHAnsi"/>
          <w:bCs/>
        </w:rPr>
      </w:pPr>
      <w:r w:rsidRPr="009D7320">
        <w:rPr>
          <w:rFonts w:asciiTheme="majorHAnsi" w:hAnsiTheme="majorHAnsi"/>
          <w:bCs/>
        </w:rPr>
        <w:t>Outline</w:t>
      </w:r>
    </w:p>
    <w:p w:rsidR="000E0586" w:rsidRPr="009D7320" w:rsidRDefault="000E0586" w:rsidP="000E0586">
      <w:pPr>
        <w:pStyle w:val="Default"/>
        <w:rPr>
          <w:rFonts w:asciiTheme="majorHAnsi" w:hAnsiTheme="majorHAnsi"/>
          <w:bCs/>
        </w:rPr>
      </w:pPr>
    </w:p>
    <w:p w:rsidR="000E0586" w:rsidRPr="009D7320" w:rsidRDefault="000E0586" w:rsidP="000E0586">
      <w:pPr>
        <w:pStyle w:val="Default"/>
        <w:rPr>
          <w:rFonts w:asciiTheme="majorHAnsi" w:hAnsiTheme="majorHAnsi"/>
          <w:bCs/>
        </w:rPr>
      </w:pPr>
      <w:r w:rsidRPr="009D7320">
        <w:rPr>
          <w:rFonts w:asciiTheme="majorHAnsi" w:hAnsiTheme="majorHAnsi"/>
          <w:bCs/>
        </w:rPr>
        <w:t xml:space="preserve">This session will introduce the stream of HGH and explore why humanities is relevant to Global Health studies. It includes a performance by Global Health alumnus Matthew Rinaldi.                      </w:t>
      </w:r>
    </w:p>
    <w:p w:rsidR="000E0586" w:rsidRPr="009D7320" w:rsidRDefault="000E0586" w:rsidP="000E0586">
      <w:pPr>
        <w:pStyle w:val="Default"/>
        <w:rPr>
          <w:rStyle w:val="Heading4Char"/>
          <w:lang w:val="en-GB"/>
        </w:rPr>
      </w:pPr>
    </w:p>
    <w:p w:rsidR="000E0586" w:rsidRPr="009D7320" w:rsidRDefault="000E0586" w:rsidP="000E0586">
      <w:pPr>
        <w:pStyle w:val="Default"/>
        <w:rPr>
          <w:rFonts w:asciiTheme="majorHAnsi" w:hAnsiTheme="majorHAnsi"/>
          <w:bCs/>
        </w:rPr>
      </w:pPr>
      <w:r w:rsidRPr="009D7320">
        <w:rPr>
          <w:rStyle w:val="Heading4Char"/>
        </w:rPr>
        <w:t>Essential Reading</w:t>
      </w:r>
    </w:p>
    <w:p w:rsidR="000E0586" w:rsidRPr="009D7320" w:rsidRDefault="000E0586" w:rsidP="000E0586">
      <w:pPr>
        <w:pStyle w:val="Default"/>
        <w:rPr>
          <w:rFonts w:asciiTheme="majorHAnsi" w:hAnsiTheme="majorHAnsi"/>
          <w:bCs/>
        </w:rPr>
      </w:pPr>
    </w:p>
    <w:p w:rsidR="00D70A6D" w:rsidRPr="009D7320" w:rsidRDefault="00D70A6D" w:rsidP="000E0586">
      <w:pPr>
        <w:pStyle w:val="Default"/>
        <w:rPr>
          <w:rFonts w:asciiTheme="majorHAnsi" w:hAnsiTheme="majorHAnsi"/>
          <w:bCs/>
        </w:rPr>
      </w:pPr>
    </w:p>
    <w:p w:rsidR="000E0586" w:rsidRPr="009D7320" w:rsidRDefault="00D70A6D" w:rsidP="000E0586">
      <w:pPr>
        <w:pStyle w:val="Default"/>
        <w:rPr>
          <w:rFonts w:asciiTheme="majorHAnsi" w:hAnsiTheme="majorHAnsi"/>
          <w:bCs/>
        </w:rPr>
      </w:pPr>
      <w:r w:rsidRPr="009D7320">
        <w:rPr>
          <w:rFonts w:asciiTheme="majorHAnsi" w:hAnsiTheme="majorHAnsi"/>
          <w:bCs/>
        </w:rPr>
        <w:t xml:space="preserve">Holt T. Freeman J. 'The Perfect Code' Granta magazine, The Magazine of New Writing - Medicine edition: 120. Freeman J (ed). Granta Publications Ltd August 2012.  </w:t>
      </w:r>
    </w:p>
    <w:p w:rsidR="00E8651F" w:rsidRPr="009D7320" w:rsidRDefault="00E8651F" w:rsidP="000E0586">
      <w:pPr>
        <w:pStyle w:val="Default"/>
        <w:rPr>
          <w:rFonts w:asciiTheme="majorHAnsi" w:hAnsiTheme="majorHAnsi"/>
          <w:bCs/>
        </w:rPr>
      </w:pPr>
    </w:p>
    <w:p w:rsidR="00E8651F" w:rsidRPr="009D7320" w:rsidRDefault="00E8651F" w:rsidP="00E8651F">
      <w:pPr>
        <w:pStyle w:val="Default"/>
        <w:rPr>
          <w:rFonts w:asciiTheme="majorHAnsi" w:hAnsiTheme="majorHAnsi"/>
          <w:bCs/>
        </w:rPr>
      </w:pPr>
      <w:r w:rsidRPr="009D7320">
        <w:rPr>
          <w:rFonts w:asciiTheme="majorHAnsi" w:hAnsiTheme="majorHAnsi"/>
          <w:bCs/>
        </w:rPr>
        <w:t>Susan Sontag, Illness as Metaphor. In: Sontag S (2002). Sontag, Susan. Illness as metaphor and AIDS and its metaphors.  London : Penguin (5 copies available at the Central Library, South Kensington and more copies to be delivered in September at St Mary’s library).</w:t>
      </w:r>
    </w:p>
    <w:p w:rsidR="000E0586" w:rsidRPr="009D7320" w:rsidRDefault="000E0586" w:rsidP="000E0586">
      <w:pPr>
        <w:pStyle w:val="Default"/>
        <w:rPr>
          <w:rFonts w:asciiTheme="majorHAnsi" w:hAnsiTheme="majorHAnsi"/>
          <w:bCs/>
        </w:rPr>
      </w:pPr>
    </w:p>
    <w:p w:rsidR="000E0586" w:rsidRPr="009D7320" w:rsidRDefault="00E8651F" w:rsidP="00E8651F">
      <w:pPr>
        <w:pStyle w:val="Heading4"/>
      </w:pPr>
      <w:r w:rsidRPr="009D7320">
        <w:t>Recommended Reading</w:t>
      </w:r>
    </w:p>
    <w:p w:rsidR="000E0586" w:rsidRPr="009D7320" w:rsidRDefault="000E0586" w:rsidP="000E0586">
      <w:pPr>
        <w:pStyle w:val="Default"/>
        <w:rPr>
          <w:rFonts w:asciiTheme="majorHAnsi" w:hAnsiTheme="majorHAnsi"/>
          <w:bCs/>
        </w:rPr>
      </w:pPr>
    </w:p>
    <w:p w:rsidR="00E8651F" w:rsidRPr="009D7320" w:rsidRDefault="000E0586" w:rsidP="000E0586">
      <w:pPr>
        <w:pStyle w:val="Default"/>
        <w:rPr>
          <w:rFonts w:asciiTheme="majorHAnsi" w:hAnsiTheme="majorHAnsi"/>
          <w:bCs/>
        </w:rPr>
      </w:pPr>
      <w:r w:rsidRPr="009D7320">
        <w:rPr>
          <w:rFonts w:asciiTheme="majorHAnsi" w:hAnsiTheme="majorHAnsi"/>
          <w:bCs/>
        </w:rPr>
        <w:t xml:space="preserve">Reference Reading: </w:t>
      </w:r>
    </w:p>
    <w:p w:rsidR="00E8651F" w:rsidRPr="009D7320" w:rsidRDefault="00E8651F" w:rsidP="000E0586">
      <w:pPr>
        <w:pStyle w:val="Default"/>
        <w:rPr>
          <w:rFonts w:asciiTheme="majorHAnsi" w:hAnsiTheme="majorHAnsi"/>
          <w:bCs/>
        </w:rPr>
      </w:pPr>
    </w:p>
    <w:p w:rsidR="00E8651F" w:rsidRPr="009D7320" w:rsidRDefault="000E0586" w:rsidP="000E0586">
      <w:pPr>
        <w:pStyle w:val="Default"/>
        <w:rPr>
          <w:rFonts w:asciiTheme="majorHAnsi" w:hAnsiTheme="majorHAnsi"/>
          <w:bCs/>
        </w:rPr>
      </w:pPr>
      <w:r w:rsidRPr="009D7320">
        <w:rPr>
          <w:rFonts w:asciiTheme="majorHAnsi" w:hAnsiTheme="majorHAnsi"/>
          <w:bCs/>
        </w:rPr>
        <w:t>Susan Sontag, Illness as Metaphor</w:t>
      </w:r>
      <w:r w:rsidR="00E8651F" w:rsidRPr="009D7320">
        <w:rPr>
          <w:rFonts w:asciiTheme="majorHAnsi" w:hAnsiTheme="majorHAnsi"/>
          <w:bCs/>
        </w:rPr>
        <w:t xml:space="preserve"> </w:t>
      </w:r>
    </w:p>
    <w:p w:rsidR="00E8651F" w:rsidRPr="009D7320" w:rsidRDefault="00E8651F" w:rsidP="000E0586">
      <w:pPr>
        <w:pStyle w:val="Default"/>
        <w:rPr>
          <w:rFonts w:asciiTheme="majorHAnsi" w:hAnsiTheme="majorHAnsi"/>
          <w:bCs/>
        </w:rPr>
      </w:pPr>
    </w:p>
    <w:p w:rsidR="000E0586" w:rsidRPr="009D7320" w:rsidRDefault="00E8651F" w:rsidP="000E0586">
      <w:pPr>
        <w:pStyle w:val="Default"/>
        <w:rPr>
          <w:rFonts w:asciiTheme="majorHAnsi" w:hAnsiTheme="majorHAnsi"/>
          <w:bCs/>
        </w:rPr>
      </w:pPr>
      <w:r w:rsidRPr="009D7320">
        <w:rPr>
          <w:rFonts w:asciiTheme="majorHAnsi" w:hAnsiTheme="majorHAnsi"/>
          <w:bCs/>
        </w:rPr>
        <w:t>Any/all of Granta 'Medicine' edition</w:t>
      </w:r>
    </w:p>
    <w:p w:rsidR="000E0586" w:rsidRPr="009D7320" w:rsidRDefault="000E0586" w:rsidP="000E0586">
      <w:pPr>
        <w:pStyle w:val="Default"/>
        <w:rPr>
          <w:rFonts w:asciiTheme="majorHAnsi" w:hAnsiTheme="majorHAnsi"/>
          <w:bCs/>
        </w:rPr>
      </w:pPr>
    </w:p>
    <w:p w:rsidR="000E0586" w:rsidRPr="009D7320" w:rsidRDefault="000E0586" w:rsidP="000E0586"/>
    <w:p w:rsidR="000E0586" w:rsidRPr="009D7320" w:rsidRDefault="000E0586" w:rsidP="000E0586"/>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0E0586" w:rsidRPr="009D7320" w:rsidTr="006F3C8A">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0E0586" w:rsidRPr="009D7320" w:rsidRDefault="000E0586" w:rsidP="006F3C8A">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0E0586" w:rsidRPr="009D7320" w:rsidRDefault="000E0586" w:rsidP="006F3C8A">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0E0586" w:rsidRPr="009D7320" w:rsidRDefault="000E0586" w:rsidP="006F3C8A">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0E0586" w:rsidRPr="009D7320" w:rsidTr="006F3C8A">
        <w:trPr>
          <w:trHeight w:val="684"/>
          <w:tblHeader/>
        </w:trPr>
        <w:tc>
          <w:tcPr>
            <w:tcW w:w="709" w:type="dxa"/>
            <w:tcBorders>
              <w:top w:val="single" w:sz="4" w:space="0" w:color="auto"/>
              <w:left w:val="single" w:sz="4" w:space="0" w:color="auto"/>
              <w:bottom w:val="single" w:sz="4" w:space="0" w:color="auto"/>
              <w:right w:val="nil"/>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0E0586" w:rsidRPr="009D7320" w:rsidRDefault="000E0586" w:rsidP="006F3C8A">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0E0586" w:rsidRPr="009D7320" w:rsidRDefault="000E0586" w:rsidP="006F3C8A">
            <w:pPr>
              <w:rPr>
                <w:rFonts w:ascii="Arial" w:hAnsi="Arial" w:cs="Arial"/>
                <w:sz w:val="12"/>
                <w:szCs w:val="12"/>
              </w:rPr>
            </w:pPr>
            <w:r w:rsidRPr="009D7320">
              <w:rPr>
                <w:rFonts w:ascii="Arial" w:hAnsi="Arial" w:cs="Arial"/>
                <w:sz w:val="12"/>
                <w:szCs w:val="12"/>
              </w:rPr>
              <w:t>Strongly Disagree</w:t>
            </w:r>
          </w:p>
        </w:tc>
      </w:tr>
      <w:tr w:rsidR="000E0586" w:rsidRPr="009D7320" w:rsidTr="006F3C8A">
        <w:trPr>
          <w:trHeight w:val="355"/>
        </w:trPr>
        <w:tc>
          <w:tcPr>
            <w:tcW w:w="709" w:type="dxa"/>
            <w:tcBorders>
              <w:top w:val="single" w:sz="4" w:space="0" w:color="auto"/>
              <w:left w:val="single" w:sz="4" w:space="0" w:color="auto"/>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0E0586" w:rsidRPr="009D7320" w:rsidRDefault="000E0586" w:rsidP="006F3C8A">
            <w:pPr>
              <w:jc w:val="center"/>
              <w:rPr>
                <w:rFonts w:ascii="Arial" w:hAnsi="Arial" w:cs="Arial"/>
                <w:sz w:val="12"/>
                <w:szCs w:val="12"/>
              </w:rPr>
            </w:pPr>
            <w:r w:rsidRPr="009D7320">
              <w:rPr>
                <w:rFonts w:ascii="Arial" w:hAnsi="Arial" w:cs="Arial"/>
                <w:sz w:val="12"/>
                <w:szCs w:val="12"/>
              </w:rPr>
              <w:sym w:font="Symbol" w:char="F07F"/>
            </w:r>
          </w:p>
        </w:tc>
      </w:tr>
    </w:tbl>
    <w:p w:rsidR="000E0586" w:rsidRPr="009D7320" w:rsidRDefault="000E0586" w:rsidP="000E0586">
      <w:pPr>
        <w:rPr>
          <w:rStyle w:val="Strong"/>
          <w:b w:val="0"/>
          <w:sz w:val="20"/>
          <w:szCs w:val="20"/>
        </w:rPr>
      </w:pPr>
    </w:p>
    <w:p w:rsidR="000E0586" w:rsidRPr="009D7320" w:rsidRDefault="000E0586" w:rsidP="000E0586">
      <w:pPr>
        <w:rPr>
          <w:rStyle w:val="Strong"/>
          <w:b w:val="0"/>
          <w:sz w:val="20"/>
          <w:szCs w:val="20"/>
        </w:rPr>
      </w:pPr>
    </w:p>
    <w:p w:rsidR="000E0586" w:rsidRPr="009D7320" w:rsidRDefault="00412352" w:rsidP="000E0586">
      <w:pPr>
        <w:rPr>
          <w:rStyle w:val="Strong"/>
          <w:b w:val="0"/>
          <w:sz w:val="20"/>
          <w:szCs w:val="20"/>
        </w:rPr>
      </w:pPr>
      <w:r w:rsidRPr="009D7320">
        <w:rPr>
          <w:rStyle w:val="Strong"/>
          <w:b w:val="0"/>
          <w:sz w:val="20"/>
          <w:szCs w:val="20"/>
        </w:rPr>
        <w:t>One useful learning point I would like to remember from this session:</w:t>
      </w:r>
      <w:r w:rsidR="000E0586" w:rsidRPr="009D7320">
        <w:rPr>
          <w:rStyle w:val="Strong"/>
          <w:b w:val="0"/>
          <w:sz w:val="20"/>
          <w:szCs w:val="20"/>
        </w:rPr>
        <w:t>.</w:t>
      </w:r>
    </w:p>
    <w:p w:rsidR="000E0586" w:rsidRPr="009D7320" w:rsidRDefault="000E0586" w:rsidP="000E0586">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0E0586" w:rsidRPr="009D7320" w:rsidTr="006F3C8A">
        <w:tc>
          <w:tcPr>
            <w:tcW w:w="10206" w:type="dxa"/>
          </w:tcPr>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p w:rsidR="000E0586" w:rsidRPr="009D7320" w:rsidRDefault="000E0586" w:rsidP="006F3C8A">
            <w:pPr>
              <w:rPr>
                <w:rFonts w:ascii="Arial" w:hAnsi="Arial" w:cs="Arial"/>
                <w:b/>
                <w:color w:val="FF0000"/>
                <w:sz w:val="20"/>
                <w:szCs w:val="20"/>
              </w:rPr>
            </w:pPr>
          </w:p>
        </w:tc>
      </w:tr>
    </w:tbl>
    <w:p w:rsidR="000E0586" w:rsidRPr="009D7320" w:rsidRDefault="000E0586" w:rsidP="000E0586">
      <w:pPr>
        <w:pStyle w:val="Default"/>
        <w:rPr>
          <w:rFonts w:asciiTheme="majorHAnsi" w:hAnsiTheme="majorHAnsi"/>
          <w:bCs/>
          <w:lang w:val="en-US"/>
        </w:rPr>
      </w:pPr>
    </w:p>
    <w:p w:rsidR="000E0586" w:rsidRPr="009D7320" w:rsidRDefault="000E0586" w:rsidP="000E0586">
      <w:pPr>
        <w:pStyle w:val="Default"/>
        <w:rPr>
          <w:rFonts w:asciiTheme="majorHAnsi" w:hAnsiTheme="majorHAnsi"/>
          <w:bCs/>
          <w:lang w:val="en-US"/>
        </w:rPr>
      </w:pPr>
    </w:p>
    <w:p w:rsidR="00ED4013" w:rsidRPr="009D7320" w:rsidRDefault="00ED4013" w:rsidP="000E0586">
      <w:pPr>
        <w:pStyle w:val="Default"/>
        <w:rPr>
          <w:rFonts w:asciiTheme="majorHAnsi" w:hAnsiTheme="majorHAnsi"/>
          <w:bCs/>
          <w:lang w:val="en-US"/>
        </w:rPr>
      </w:pPr>
    </w:p>
    <w:p w:rsidR="006A21A2" w:rsidRPr="009D7320" w:rsidRDefault="006A21A2" w:rsidP="006A21A2">
      <w:pPr>
        <w:pStyle w:val="Heading2"/>
      </w:pPr>
      <w:r w:rsidRPr="009D7320">
        <w:t>Lecture</w:t>
      </w:r>
      <w:r w:rsidR="007D6ED6" w:rsidRPr="009D7320">
        <w:t xml:space="preserve">: Systematic Reviews and Meta-analysis </w:t>
      </w:r>
      <w:r w:rsidRPr="009D7320">
        <w:t xml:space="preserve">and </w:t>
      </w:r>
    </w:p>
    <w:p w:rsidR="006A21A2" w:rsidRPr="009D7320" w:rsidRDefault="006A21A2" w:rsidP="006A21A2">
      <w:pPr>
        <w:pStyle w:val="Heading2"/>
      </w:pPr>
      <w:r w:rsidRPr="009D7320">
        <w:t>Practical: Planning and Conducting a Systematic Review</w:t>
      </w:r>
    </w:p>
    <w:p w:rsidR="007D6ED6" w:rsidRPr="009D7320" w:rsidRDefault="007D6ED6" w:rsidP="007D6ED6">
      <w:pPr>
        <w:pStyle w:val="Default"/>
        <w:rPr>
          <w:rFonts w:asciiTheme="majorHAnsi" w:hAnsiTheme="majorHAnsi"/>
        </w:rPr>
      </w:pPr>
      <w:r w:rsidRPr="009D7320">
        <w:rPr>
          <w:rFonts w:asciiTheme="majorHAnsi" w:hAnsiTheme="majorHAnsi"/>
        </w:rPr>
        <w:t xml:space="preserve">Dr Teresa Norat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b/>
        </w:rPr>
        <w:t>Intended</w:t>
      </w:r>
      <w:r w:rsidRPr="009D7320">
        <w:rPr>
          <w:rFonts w:asciiTheme="majorHAnsi" w:hAnsiTheme="majorHAnsi"/>
        </w:rPr>
        <w:t xml:space="preserve"> </w:t>
      </w:r>
      <w:r w:rsidRPr="009D7320">
        <w:rPr>
          <w:rFonts w:asciiTheme="majorHAnsi" w:hAnsiTheme="majorHAnsi"/>
          <w:b/>
          <w:bCs/>
        </w:rPr>
        <w:t xml:space="preserve">Learning Objectives: by the end of this session you should be able to: </w:t>
      </w:r>
    </w:p>
    <w:p w:rsidR="007D6ED6" w:rsidRPr="009D7320" w:rsidRDefault="007D6ED6" w:rsidP="007D6ED6">
      <w:pPr>
        <w:pStyle w:val="Default"/>
        <w:spacing w:after="114"/>
        <w:rPr>
          <w:rFonts w:asciiTheme="majorHAnsi" w:hAnsiTheme="majorHAnsi"/>
        </w:rPr>
      </w:pPr>
      <w:r w:rsidRPr="009D7320">
        <w:rPr>
          <w:rFonts w:asciiTheme="majorHAnsi" w:hAnsiTheme="majorHAnsi" w:cs="Times New Roman"/>
        </w:rPr>
        <w:t xml:space="preserve">• </w:t>
      </w:r>
      <w:r w:rsidRPr="009D7320">
        <w:rPr>
          <w:rFonts w:asciiTheme="majorHAnsi" w:hAnsiTheme="majorHAnsi"/>
        </w:rPr>
        <w:t>evaluate the need for conducting systematic reviews and meta-analyses</w:t>
      </w:r>
    </w:p>
    <w:p w:rsidR="007D6ED6" w:rsidRPr="009D7320" w:rsidRDefault="007D6ED6" w:rsidP="007D6ED6">
      <w:pPr>
        <w:pStyle w:val="Default"/>
        <w:spacing w:after="114"/>
        <w:rPr>
          <w:rFonts w:asciiTheme="majorHAnsi" w:hAnsiTheme="majorHAnsi"/>
        </w:rPr>
      </w:pPr>
      <w:r w:rsidRPr="009D7320">
        <w:rPr>
          <w:rFonts w:asciiTheme="majorHAnsi" w:hAnsiTheme="majorHAnsi" w:cs="Times New Roman"/>
        </w:rPr>
        <w:t xml:space="preserve">• </w:t>
      </w:r>
      <w:r w:rsidRPr="009D7320">
        <w:rPr>
          <w:rFonts w:asciiTheme="majorHAnsi" w:hAnsiTheme="majorHAnsi"/>
        </w:rPr>
        <w:t>assess the potential biases and limitations of systematic reviews and meta-analyses</w:t>
      </w:r>
    </w:p>
    <w:p w:rsidR="007D6ED6" w:rsidRPr="009D7320" w:rsidRDefault="007D6ED6" w:rsidP="007D6ED6">
      <w:pPr>
        <w:pStyle w:val="Default"/>
        <w:spacing w:after="114"/>
        <w:rPr>
          <w:rFonts w:asciiTheme="majorHAnsi" w:hAnsiTheme="majorHAnsi"/>
        </w:rPr>
      </w:pPr>
      <w:r w:rsidRPr="009D7320">
        <w:rPr>
          <w:rFonts w:asciiTheme="majorHAnsi" w:hAnsiTheme="majorHAnsi" w:cs="Times New Roman"/>
        </w:rPr>
        <w:t xml:space="preserve">• </w:t>
      </w:r>
      <w:r w:rsidRPr="009D7320">
        <w:rPr>
          <w:rFonts w:asciiTheme="majorHAnsi" w:hAnsiTheme="majorHAnsi"/>
        </w:rPr>
        <w:t>interpret the findings presented in published systematic reviews and meta-analyses</w:t>
      </w:r>
      <w:r w:rsidR="00093C7A" w:rsidRPr="009D7320">
        <w:rPr>
          <w:rFonts w:asciiTheme="majorHAnsi" w:hAnsiTheme="majorHAnsi"/>
        </w:rPr>
        <w:t xml:space="preserve"> in the context of Global Health</w:t>
      </w:r>
    </w:p>
    <w:p w:rsidR="007D6ED6" w:rsidRPr="009D7320" w:rsidRDefault="007D6ED6" w:rsidP="007D6ED6">
      <w:pPr>
        <w:pStyle w:val="Default"/>
        <w:rPr>
          <w:rFonts w:asciiTheme="majorHAnsi" w:hAnsiTheme="majorHAnsi"/>
        </w:rPr>
      </w:pPr>
      <w:r w:rsidRPr="009D7320">
        <w:rPr>
          <w:rFonts w:asciiTheme="majorHAnsi" w:hAnsiTheme="majorHAnsi" w:cs="Times New Roman"/>
        </w:rPr>
        <w:t xml:space="preserve">• </w:t>
      </w:r>
      <w:r w:rsidRPr="009D7320">
        <w:rPr>
          <w:rFonts w:asciiTheme="majorHAnsi" w:hAnsiTheme="majorHAnsi"/>
        </w:rPr>
        <w:t xml:space="preserve">develop a protocol for undertaking a systematic review </w:t>
      </w:r>
      <w:r w:rsidR="00115A07" w:rsidRPr="009D7320">
        <w:rPr>
          <w:rFonts w:asciiTheme="majorHAnsi" w:hAnsiTheme="majorHAnsi"/>
        </w:rPr>
        <w:t>and access resources to conduct systematic reviews</w:t>
      </w:r>
    </w:p>
    <w:p w:rsidR="007D6ED6" w:rsidRPr="009D7320" w:rsidRDefault="007D6ED6" w:rsidP="007D6ED6">
      <w:pPr>
        <w:pStyle w:val="Default"/>
        <w:rPr>
          <w:rFonts w:asciiTheme="majorHAnsi" w:hAnsiTheme="majorHAnsi"/>
        </w:rPr>
      </w:pPr>
    </w:p>
    <w:p w:rsidR="006A21A2" w:rsidRPr="009D7320" w:rsidRDefault="006A21A2" w:rsidP="007D6ED6">
      <w:pPr>
        <w:pStyle w:val="Default"/>
        <w:rPr>
          <w:rFonts w:asciiTheme="majorHAnsi" w:hAnsiTheme="majorHAnsi"/>
          <w:b/>
          <w:bCs/>
          <w:i/>
        </w:rPr>
      </w:pPr>
      <w:r w:rsidRPr="009D7320">
        <w:rPr>
          <w:rFonts w:asciiTheme="majorHAnsi" w:hAnsiTheme="majorHAnsi"/>
          <w:b/>
          <w:bCs/>
          <w:i/>
        </w:rPr>
        <w:t>Basic Background to the Lecture and Practical</w:t>
      </w:r>
    </w:p>
    <w:p w:rsidR="006A21A2" w:rsidRPr="009D7320" w:rsidRDefault="006A21A2" w:rsidP="007D6ED6">
      <w:pPr>
        <w:pStyle w:val="Default"/>
        <w:rPr>
          <w:rFonts w:asciiTheme="majorHAnsi" w:hAnsiTheme="majorHAnsi"/>
          <w:b/>
          <w:bCs/>
        </w:rPr>
      </w:pPr>
    </w:p>
    <w:p w:rsidR="007D6ED6" w:rsidRPr="009D7320" w:rsidRDefault="007D6ED6" w:rsidP="007D6ED6">
      <w:pPr>
        <w:pStyle w:val="Default"/>
        <w:rPr>
          <w:rFonts w:asciiTheme="majorHAnsi" w:hAnsiTheme="majorHAnsi"/>
        </w:rPr>
      </w:pPr>
      <w:r w:rsidRPr="009D7320">
        <w:rPr>
          <w:rFonts w:asciiTheme="majorHAnsi" w:hAnsiTheme="majorHAnsi"/>
          <w:b/>
          <w:bCs/>
        </w:rPr>
        <w:t xml:space="preserve">Why undertake a systematic review? </w:t>
      </w:r>
    </w:p>
    <w:p w:rsidR="007D6ED6" w:rsidRPr="009D7320" w:rsidRDefault="007D6ED6" w:rsidP="007D6ED6">
      <w:pPr>
        <w:pStyle w:val="Default"/>
        <w:rPr>
          <w:rFonts w:asciiTheme="majorHAnsi" w:hAnsiTheme="majorHAnsi"/>
        </w:rPr>
      </w:pPr>
      <w:r w:rsidRPr="009D7320">
        <w:rPr>
          <w:rFonts w:asciiTheme="majorHAnsi" w:hAnsiTheme="majorHAnsi"/>
        </w:rPr>
        <w:t>Because of the high volume of data that need to be considered by practitioners and researchers, it has become impossible for the individual to critically evaluate and synthesise the state current knowledge in many areas. Single studies are often insufficient to universally answer a research question. In order to provide more generalisable conclusions, researchers can conduct a s</w:t>
      </w:r>
      <w:r w:rsidRPr="009D7320">
        <w:rPr>
          <w:rFonts w:asciiTheme="majorHAnsi" w:hAnsiTheme="majorHAnsi"/>
          <w:i/>
          <w:iCs/>
        </w:rPr>
        <w:t xml:space="preserve">ystematic review </w:t>
      </w:r>
      <w:r w:rsidRPr="009D7320">
        <w:rPr>
          <w:rFonts w:asciiTheme="majorHAnsi" w:hAnsiTheme="majorHAnsi"/>
        </w:rPr>
        <w:t xml:space="preserve">of the primary studies on a particular research question.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A systematic review is „a review of a clearly formulated question that uses systematic and explicit methods to identify, select, and critically appraise relevant research, and to collect and analyse data from the studies that are included in the review.</w:t>
      </w:r>
      <w:r w:rsidRPr="009D7320">
        <w:rPr>
          <w:rFonts w:asciiTheme="majorHAnsi"/>
        </w:rPr>
        <w:t>‟</w:t>
      </w:r>
      <w:r w:rsidRPr="009D7320">
        <w:rPr>
          <w:rFonts w:asciiTheme="majorHAnsi" w:hAnsiTheme="majorHAnsi"/>
        </w:rPr>
        <w:t xml:space="preserve">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The advantages of a systematic approach include: </w:t>
      </w:r>
    </w:p>
    <w:p w:rsidR="007D6ED6" w:rsidRPr="009D7320" w:rsidRDefault="007D6ED6" w:rsidP="007D6ED6">
      <w:pPr>
        <w:pStyle w:val="Default"/>
        <w:numPr>
          <w:ilvl w:val="0"/>
          <w:numId w:val="24"/>
        </w:numPr>
        <w:spacing w:after="115"/>
        <w:rPr>
          <w:rFonts w:asciiTheme="majorHAnsi" w:hAnsiTheme="majorHAnsi"/>
        </w:rPr>
      </w:pPr>
      <w:r w:rsidRPr="009D7320">
        <w:rPr>
          <w:rFonts w:asciiTheme="majorHAnsi" w:hAnsiTheme="majorHAnsi"/>
        </w:rPr>
        <w:t xml:space="preserve">Transparent process because of the explicit methods in identifying and rejecting studies. </w:t>
      </w:r>
    </w:p>
    <w:p w:rsidR="007D6ED6" w:rsidRPr="009D7320" w:rsidRDefault="007D6ED6" w:rsidP="007D6ED6">
      <w:pPr>
        <w:pStyle w:val="Default"/>
        <w:numPr>
          <w:ilvl w:val="0"/>
          <w:numId w:val="24"/>
        </w:numPr>
        <w:spacing w:after="115"/>
        <w:rPr>
          <w:rFonts w:asciiTheme="majorHAnsi" w:hAnsiTheme="majorHAnsi"/>
        </w:rPr>
      </w:pPr>
      <w:r w:rsidRPr="009D7320">
        <w:rPr>
          <w:rFonts w:asciiTheme="majorHAnsi" w:hAnsiTheme="majorHAnsi"/>
        </w:rPr>
        <w:t xml:space="preserve">Meta-analysis, if appropriate, will enhance the precision of estimates of treatment effects. </w:t>
      </w:r>
    </w:p>
    <w:p w:rsidR="007D6ED6" w:rsidRPr="009D7320" w:rsidRDefault="007D6ED6" w:rsidP="007D6ED6">
      <w:pPr>
        <w:pStyle w:val="Default"/>
        <w:numPr>
          <w:ilvl w:val="0"/>
          <w:numId w:val="24"/>
        </w:numPr>
        <w:rPr>
          <w:rFonts w:asciiTheme="majorHAnsi" w:hAnsiTheme="majorHAnsi"/>
        </w:rPr>
      </w:pPr>
      <w:r w:rsidRPr="009D7320">
        <w:rPr>
          <w:rFonts w:asciiTheme="majorHAnsi" w:hAnsiTheme="majorHAnsi"/>
        </w:rPr>
        <w:t xml:space="preserve">Systematic reviews may demonstrate the lack of adequate evidence and thus identify areas where further studies are needed.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b/>
          <w:bCs/>
          <w:i/>
          <w:iCs/>
        </w:rPr>
        <w:t xml:space="preserve">What is involved in a systematic review? </w:t>
      </w:r>
    </w:p>
    <w:p w:rsidR="007D6ED6" w:rsidRPr="009D7320" w:rsidRDefault="007D6ED6" w:rsidP="007D6ED6">
      <w:pPr>
        <w:pStyle w:val="Default"/>
        <w:rPr>
          <w:rFonts w:asciiTheme="majorHAnsi" w:hAnsiTheme="majorHAnsi"/>
        </w:rPr>
      </w:pPr>
      <w:r w:rsidRPr="009D7320">
        <w:rPr>
          <w:rFonts w:asciiTheme="majorHAnsi" w:hAnsiTheme="majorHAnsi"/>
        </w:rPr>
        <w:t xml:space="preserve">There are several stages to undertaking a systematic review: </w:t>
      </w:r>
    </w:p>
    <w:p w:rsidR="007D6ED6" w:rsidRPr="009D7320" w:rsidRDefault="007D6ED6" w:rsidP="007D6ED6">
      <w:pPr>
        <w:pStyle w:val="Default"/>
        <w:rPr>
          <w:rFonts w:asciiTheme="majorHAnsi" w:hAnsiTheme="majorHAnsi"/>
          <w:i/>
          <w:iCs/>
        </w:rPr>
      </w:pPr>
    </w:p>
    <w:p w:rsidR="007D6ED6" w:rsidRPr="009D7320" w:rsidRDefault="007D6ED6" w:rsidP="007D6ED6">
      <w:pPr>
        <w:pStyle w:val="Default"/>
        <w:rPr>
          <w:rFonts w:asciiTheme="majorHAnsi" w:hAnsiTheme="majorHAnsi"/>
        </w:rPr>
      </w:pPr>
      <w:r w:rsidRPr="009D7320">
        <w:rPr>
          <w:rFonts w:asciiTheme="majorHAnsi" w:hAnsiTheme="majorHAnsi"/>
          <w:i/>
          <w:iCs/>
        </w:rPr>
        <w:t xml:space="preserve">Stage I </w:t>
      </w:r>
    </w:p>
    <w:p w:rsidR="007D6ED6" w:rsidRPr="009D7320" w:rsidRDefault="007D6ED6" w:rsidP="007D6ED6">
      <w:pPr>
        <w:pStyle w:val="Default"/>
        <w:rPr>
          <w:rFonts w:asciiTheme="majorHAnsi" w:hAnsiTheme="majorHAnsi"/>
        </w:rPr>
      </w:pPr>
      <w:r w:rsidRPr="009D7320">
        <w:rPr>
          <w:rFonts w:asciiTheme="majorHAnsi" w:hAnsiTheme="majorHAnsi"/>
        </w:rPr>
        <w:t xml:space="preserve">Planning the review - Need to clearly define the research question to be addressed. This question is usually framed around the definition of study participants, intervention (exposure), outcomes and study designs of interest. </w:t>
      </w:r>
    </w:p>
    <w:p w:rsidR="007D6ED6" w:rsidRPr="009D7320" w:rsidRDefault="007D6ED6" w:rsidP="007D6ED6">
      <w:pPr>
        <w:pStyle w:val="Default"/>
        <w:rPr>
          <w:rFonts w:asciiTheme="majorHAnsi" w:hAnsiTheme="majorHAnsi"/>
          <w:i/>
          <w:iCs/>
        </w:rPr>
      </w:pPr>
    </w:p>
    <w:p w:rsidR="007D6ED6" w:rsidRPr="009D7320" w:rsidRDefault="007D6ED6" w:rsidP="007D6ED6">
      <w:pPr>
        <w:pStyle w:val="Default"/>
        <w:rPr>
          <w:rFonts w:asciiTheme="majorHAnsi" w:hAnsiTheme="majorHAnsi"/>
        </w:rPr>
      </w:pPr>
      <w:r w:rsidRPr="009D7320">
        <w:rPr>
          <w:rFonts w:asciiTheme="majorHAnsi" w:hAnsiTheme="majorHAnsi"/>
          <w:i/>
          <w:iCs/>
        </w:rPr>
        <w:t xml:space="preserve">Stage II </w:t>
      </w:r>
    </w:p>
    <w:p w:rsidR="007D6ED6" w:rsidRPr="009D7320" w:rsidRDefault="007D6ED6" w:rsidP="007D6ED6">
      <w:pPr>
        <w:pStyle w:val="Default"/>
        <w:rPr>
          <w:rFonts w:asciiTheme="majorHAnsi" w:hAnsiTheme="majorHAnsi"/>
        </w:rPr>
      </w:pPr>
      <w:r w:rsidRPr="009D7320">
        <w:rPr>
          <w:rFonts w:asciiTheme="majorHAnsi" w:hAnsiTheme="majorHAnsi"/>
        </w:rPr>
        <w:t xml:space="preserve">Identification of research - Requires clearly defined search criteria and a thorough search of all published literature (including exhaustive searches of reference lists, conference proceedings and contact with researchers in the field). </w:t>
      </w:r>
    </w:p>
    <w:p w:rsidR="007D6ED6" w:rsidRPr="009D7320" w:rsidRDefault="007D6ED6" w:rsidP="007D6ED6">
      <w:pPr>
        <w:pStyle w:val="Default"/>
        <w:rPr>
          <w:rFonts w:asciiTheme="majorHAnsi" w:hAnsiTheme="majorHAnsi"/>
        </w:rPr>
      </w:pPr>
      <w:r w:rsidRPr="009D7320">
        <w:rPr>
          <w:rFonts w:asciiTheme="majorHAnsi" w:hAnsiTheme="majorHAnsi"/>
        </w:rPr>
        <w:t xml:space="preserve">Selection of studies – Inclusion and exclusion criteria should be defined a priori; these are likely to be based on factors such as study design, year, sample size, completeness of information, study quality etc.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Study quality assessment – Study quality can be assessed against recognized or user-defined criteria, usually to establish whether various biases are likely to exist in the in study (e.g. selection bias, measurement bias, attrition bias/loss to follow-up).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i/>
          <w:iCs/>
        </w:rPr>
        <w:t xml:space="preserve">Stage III </w:t>
      </w:r>
    </w:p>
    <w:p w:rsidR="007D6ED6" w:rsidRPr="009D7320" w:rsidRDefault="007D6ED6" w:rsidP="007D6ED6">
      <w:pPr>
        <w:pStyle w:val="Default"/>
        <w:rPr>
          <w:rFonts w:asciiTheme="majorHAnsi" w:hAnsiTheme="majorHAnsi"/>
        </w:rPr>
      </w:pPr>
      <w:r w:rsidRPr="009D7320">
        <w:rPr>
          <w:rFonts w:asciiTheme="majorHAnsi" w:hAnsiTheme="majorHAnsi"/>
        </w:rPr>
        <w:t xml:space="preserve">Reporting and dissemination – Study details need to be abstracted from each eligible study along with the effect estimate (or details that allow an effect estimate to be calculated). These details need to be tabulated in a meaningful way, including, where appropriate, details of populations, interventions/exposure, outcomes and study design, and a summary of the findings. The last step consists in estimating an overall effect by combining the data, if a metanalysis is deemed appropriate.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b/>
          <w:bCs/>
        </w:rPr>
        <w:t xml:space="preserve">What is a meta-analysis? </w:t>
      </w:r>
    </w:p>
    <w:p w:rsidR="00093C7A" w:rsidRPr="009D7320" w:rsidRDefault="00093C7A"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Meta-analysis refers to „the use of statistical techniques in a systematic review to integrate the results of included studies</w:t>
      </w:r>
      <w:r w:rsidRPr="009D7320">
        <w:rPr>
          <w:rFonts w:asciiTheme="majorHAnsi"/>
        </w:rPr>
        <w:t>‟</w:t>
      </w:r>
      <w:r w:rsidRPr="009D7320">
        <w:rPr>
          <w:rFonts w:asciiTheme="majorHAnsi" w:hAnsiTheme="majorHAnsi"/>
        </w:rPr>
        <w:t xml:space="preserve">. The studies themselves are the primary units of analysis. </w:t>
      </w:r>
    </w:p>
    <w:p w:rsidR="00093C7A" w:rsidRPr="009D7320" w:rsidRDefault="00093C7A"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Meta-analyses combine the published estimates of effect from each study to generate a pooled risk estimate. This approach means that: </w:t>
      </w:r>
    </w:p>
    <w:p w:rsidR="007D6ED6" w:rsidRPr="009D7320" w:rsidRDefault="007D6ED6" w:rsidP="007D6ED6">
      <w:pPr>
        <w:pStyle w:val="Default"/>
        <w:numPr>
          <w:ilvl w:val="0"/>
          <w:numId w:val="24"/>
        </w:numPr>
        <w:spacing w:after="118"/>
        <w:rPr>
          <w:rFonts w:asciiTheme="majorHAnsi" w:hAnsiTheme="majorHAnsi"/>
        </w:rPr>
      </w:pPr>
      <w:r w:rsidRPr="009D7320">
        <w:rPr>
          <w:rFonts w:asciiTheme="majorHAnsi" w:hAnsiTheme="majorHAnsi"/>
        </w:rPr>
        <w:t xml:space="preserve">More subjects can be included than any single constituent study, producing a more reliable and precise estimate of effect </w:t>
      </w:r>
    </w:p>
    <w:p w:rsidR="007D6ED6" w:rsidRPr="009D7320" w:rsidRDefault="007D6ED6" w:rsidP="007D6ED6">
      <w:pPr>
        <w:pStyle w:val="Default"/>
        <w:numPr>
          <w:ilvl w:val="0"/>
          <w:numId w:val="24"/>
        </w:numPr>
        <w:rPr>
          <w:rFonts w:asciiTheme="majorHAnsi" w:hAnsiTheme="majorHAnsi"/>
        </w:rPr>
      </w:pPr>
      <w:r w:rsidRPr="009D7320">
        <w:rPr>
          <w:rFonts w:asciiTheme="majorHAnsi" w:hAnsiTheme="majorHAnsi"/>
        </w:rPr>
        <w:t xml:space="preserve">Differences (heterogeneity) between published studies can be identified and explored.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i/>
          <w:iCs/>
        </w:rPr>
        <w:t xml:space="preserve">However… </w:t>
      </w:r>
    </w:p>
    <w:p w:rsidR="007D6ED6" w:rsidRPr="009D7320" w:rsidRDefault="007D6ED6" w:rsidP="007D6ED6">
      <w:pPr>
        <w:pStyle w:val="Default"/>
        <w:numPr>
          <w:ilvl w:val="0"/>
          <w:numId w:val="24"/>
        </w:numPr>
        <w:rPr>
          <w:rFonts w:asciiTheme="majorHAnsi" w:hAnsiTheme="majorHAnsi"/>
        </w:rPr>
      </w:pPr>
      <w:r w:rsidRPr="009D7320">
        <w:rPr>
          <w:rFonts w:asciiTheme="majorHAnsi" w:hAnsiTheme="majorHAnsi"/>
        </w:rPr>
        <w:t xml:space="preserve">If the studies are too heterogeneous, it may be inappropriate, even misleading to statistically pool the results from separate studies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b/>
          <w:bCs/>
          <w:i/>
          <w:iCs/>
        </w:rPr>
        <w:t xml:space="preserve">What is involved in a meta-analysis?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As in a systematic review, effect estimates are abstracted (or calculated) from the selected studies; in a meta-analysis, these individual study effect estimates are then pooled to produce a weighted average effect across all studies.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A </w:t>
      </w:r>
      <w:r w:rsidRPr="009D7320">
        <w:rPr>
          <w:rFonts w:asciiTheme="majorHAnsi" w:hAnsiTheme="majorHAnsi"/>
          <w:b/>
          <w:bCs/>
        </w:rPr>
        <w:t xml:space="preserve">Forest plot </w:t>
      </w:r>
      <w:r w:rsidRPr="009D7320">
        <w:rPr>
          <w:rFonts w:asciiTheme="majorHAnsi" w:hAnsiTheme="majorHAnsi"/>
        </w:rPr>
        <w:t>is the most common way of presenting the results from a meta-analysis. This is a graphical representation of the results from each study included in a meta-analysis, together with the combined meta-analysis result.</w:t>
      </w:r>
    </w:p>
    <w:p w:rsidR="001805A3" w:rsidRPr="009D7320" w:rsidRDefault="001805A3" w:rsidP="007D6ED6">
      <w:pPr>
        <w:pStyle w:val="Default"/>
        <w:rPr>
          <w:rFonts w:asciiTheme="majorHAnsi" w:hAnsiTheme="majorHAnsi"/>
        </w:rPr>
      </w:pPr>
    </w:p>
    <w:p w:rsidR="001805A3" w:rsidRPr="009D7320" w:rsidRDefault="001805A3" w:rsidP="007D6ED6">
      <w:pPr>
        <w:pStyle w:val="Default"/>
        <w:rPr>
          <w:rFonts w:asciiTheme="majorHAnsi" w:hAnsiTheme="majorHAnsi"/>
        </w:rPr>
      </w:pPr>
      <w:r w:rsidRPr="009D7320">
        <w:rPr>
          <w:rFonts w:asciiTheme="majorHAnsi" w:hAnsiTheme="majorHAnsi"/>
          <w:noProof/>
        </w:rPr>
        <w:drawing>
          <wp:inline distT="0" distB="0" distL="0" distR="0" wp14:anchorId="608B5C6E" wp14:editId="5D65C073">
            <wp:extent cx="2847975" cy="2790825"/>
            <wp:effectExtent l="19050" t="19050" r="28575" b="285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847975" cy="2790825"/>
                    </a:xfrm>
                    <a:prstGeom prst="rect">
                      <a:avLst/>
                    </a:prstGeom>
                    <a:noFill/>
                    <a:ln w="9525">
                      <a:solidFill>
                        <a:schemeClr val="tx1"/>
                      </a:solidFill>
                      <a:miter lim="800000"/>
                      <a:headEnd/>
                      <a:tailEnd/>
                    </a:ln>
                  </pic:spPr>
                </pic:pic>
              </a:graphicData>
            </a:graphic>
          </wp:inline>
        </w:drawing>
      </w:r>
    </w:p>
    <w:p w:rsidR="007D6ED6" w:rsidRPr="009D7320" w:rsidRDefault="007D6ED6" w:rsidP="007D6ED6">
      <w:pPr>
        <w:pStyle w:val="Default"/>
        <w:rPr>
          <w:rFonts w:asciiTheme="majorHAnsi" w:hAnsiTheme="majorHAnsi"/>
        </w:rPr>
      </w:pPr>
      <w:r w:rsidRPr="009D7320">
        <w:rPr>
          <w:rFonts w:asciiTheme="majorHAnsi" w:hAnsiTheme="majorHAnsi"/>
        </w:rPr>
        <w:t xml:space="preserve">Each study is represented by a box and line – the size of the box corresponds to the weight given to that individual study; the horizontal lines correspond to the 95% confidence interval. </w:t>
      </w:r>
    </w:p>
    <w:p w:rsidR="007D6ED6" w:rsidRPr="009D7320" w:rsidRDefault="007D6ED6" w:rsidP="007D6ED6">
      <w:pPr>
        <w:pStyle w:val="Default"/>
        <w:rPr>
          <w:rFonts w:asciiTheme="majorHAnsi" w:hAnsiTheme="majorHAnsi"/>
        </w:rPr>
      </w:pPr>
      <w:r w:rsidRPr="009D7320">
        <w:rPr>
          <w:rFonts w:asciiTheme="majorHAnsi" w:hAnsiTheme="majorHAnsi"/>
        </w:rPr>
        <w:t xml:space="preserve">The overall estimate from the meta-analysis is usually shown as a diamond at the bottom of the plot. The centre of the diamond and dashed line corresponds to the summary effect estimate; the width of the diamond represents the confidence interval around this estimate. </w:t>
      </w:r>
    </w:p>
    <w:p w:rsidR="007D6ED6" w:rsidRPr="009D7320" w:rsidRDefault="007D6ED6"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b/>
          <w:bCs/>
          <w:i/>
          <w:iCs/>
        </w:rPr>
        <w:t xml:space="preserve">Publication bias </w:t>
      </w:r>
    </w:p>
    <w:p w:rsidR="007D6ED6" w:rsidRPr="009D7320" w:rsidRDefault="007D6ED6" w:rsidP="007D6ED6">
      <w:pPr>
        <w:pStyle w:val="Default"/>
        <w:rPr>
          <w:rFonts w:asciiTheme="majorHAnsi" w:hAnsiTheme="majorHAnsi"/>
        </w:rPr>
      </w:pPr>
      <w:r w:rsidRPr="009D7320">
        <w:rPr>
          <w:rFonts w:asciiTheme="majorHAnsi" w:hAnsiTheme="majorHAnsi"/>
        </w:rPr>
        <w:t xml:space="preserve">Publication bias refers to the greater likelihood of research with statistically significant results to be published in the peer-reviewed literature in comparison to those with null or non-significant results. Failure to include all relevant data in a meta-analysis may mean the effect of an intervention/exposure is over (or under) estimated. </w:t>
      </w:r>
    </w:p>
    <w:p w:rsidR="007D6ED6" w:rsidRPr="009D7320" w:rsidRDefault="007D6ED6" w:rsidP="007D6ED6">
      <w:pPr>
        <w:pStyle w:val="Default"/>
        <w:rPr>
          <w:rFonts w:asciiTheme="majorHAnsi" w:hAnsiTheme="majorHAnsi"/>
        </w:rPr>
      </w:pPr>
      <w:r w:rsidRPr="009D7320">
        <w:rPr>
          <w:rFonts w:asciiTheme="majorHAnsi" w:hAnsiTheme="majorHAnsi"/>
        </w:rPr>
        <w:t xml:space="preserve">Publication bias in meta-analyses can be explored using </w:t>
      </w:r>
      <w:r w:rsidRPr="009D7320">
        <w:rPr>
          <w:rFonts w:asciiTheme="majorHAnsi" w:hAnsiTheme="majorHAnsi"/>
          <w:b/>
          <w:bCs/>
        </w:rPr>
        <w:t>Funnel plots</w:t>
      </w:r>
      <w:r w:rsidRPr="009D7320">
        <w:rPr>
          <w:rFonts w:asciiTheme="majorHAnsi" w:hAnsiTheme="majorHAnsi"/>
        </w:rPr>
        <w:t xml:space="preserve">, which show whether there is a link between study size (or precision) and the effect estimate. </w:t>
      </w:r>
    </w:p>
    <w:p w:rsidR="007D6ED6" w:rsidRPr="009D7320" w:rsidRDefault="007D6ED6" w:rsidP="007D6ED6">
      <w:pPr>
        <w:pStyle w:val="Default"/>
        <w:rPr>
          <w:rFonts w:asciiTheme="majorHAnsi" w:hAnsiTheme="majorHAnsi"/>
          <w:b/>
          <w:bCs/>
          <w:i/>
          <w:iCs/>
        </w:rPr>
      </w:pPr>
    </w:p>
    <w:p w:rsidR="00093C7A" w:rsidRPr="009D7320" w:rsidRDefault="001805A3" w:rsidP="007D6ED6">
      <w:pPr>
        <w:pStyle w:val="Default"/>
        <w:rPr>
          <w:rFonts w:asciiTheme="majorHAnsi" w:hAnsiTheme="majorHAnsi"/>
          <w:b/>
          <w:bCs/>
          <w:i/>
          <w:iCs/>
        </w:rPr>
      </w:pPr>
      <w:r w:rsidRPr="009D7320">
        <w:rPr>
          <w:rFonts w:asciiTheme="majorHAnsi" w:hAnsiTheme="majorHAnsi"/>
          <w:b/>
          <w:bCs/>
          <w:i/>
          <w:iCs/>
          <w:noProof/>
        </w:rPr>
        <w:drawing>
          <wp:inline distT="0" distB="0" distL="0" distR="0" wp14:anchorId="2394E979" wp14:editId="22CD9DCD">
            <wp:extent cx="5172075" cy="2581275"/>
            <wp:effectExtent l="19050" t="19050" r="28575" b="2857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172075" cy="2581275"/>
                    </a:xfrm>
                    <a:prstGeom prst="rect">
                      <a:avLst/>
                    </a:prstGeom>
                    <a:noFill/>
                    <a:ln w="9525">
                      <a:solidFill>
                        <a:schemeClr val="tx1"/>
                      </a:solidFill>
                      <a:miter lim="800000"/>
                      <a:headEnd/>
                      <a:tailEnd/>
                    </a:ln>
                  </pic:spPr>
                </pic:pic>
              </a:graphicData>
            </a:graphic>
          </wp:inline>
        </w:drawing>
      </w:r>
    </w:p>
    <w:p w:rsidR="00093C7A" w:rsidRPr="009D7320" w:rsidRDefault="00093C7A" w:rsidP="007D6ED6">
      <w:pPr>
        <w:pStyle w:val="Default"/>
        <w:rPr>
          <w:rFonts w:asciiTheme="majorHAnsi" w:hAnsiTheme="majorHAnsi"/>
          <w:b/>
          <w:bCs/>
          <w:i/>
          <w:iCs/>
        </w:rPr>
      </w:pPr>
    </w:p>
    <w:p w:rsidR="009D7320" w:rsidRDefault="009D7320">
      <w:pPr>
        <w:rPr>
          <w:rFonts w:asciiTheme="majorHAnsi" w:eastAsia="Calibri" w:hAnsiTheme="majorHAnsi" w:cs="Arial"/>
          <w:b/>
          <w:bCs/>
          <w:i/>
          <w:iCs/>
          <w:color w:val="000000"/>
          <w:lang w:val="en-GB" w:eastAsia="en-GB"/>
        </w:rPr>
      </w:pPr>
      <w:r>
        <w:rPr>
          <w:rFonts w:asciiTheme="majorHAnsi" w:hAnsiTheme="majorHAnsi"/>
          <w:b/>
          <w:bCs/>
          <w:i/>
          <w:iCs/>
        </w:rPr>
        <w:br w:type="page"/>
      </w:r>
    </w:p>
    <w:p w:rsidR="007D6ED6" w:rsidRPr="009D7320" w:rsidRDefault="007D6ED6" w:rsidP="007D6ED6">
      <w:pPr>
        <w:pStyle w:val="Default"/>
        <w:rPr>
          <w:rFonts w:asciiTheme="majorHAnsi" w:hAnsiTheme="majorHAnsi"/>
          <w:b/>
          <w:bCs/>
          <w:i/>
          <w:iCs/>
        </w:rPr>
      </w:pPr>
      <w:r w:rsidRPr="009D7320">
        <w:rPr>
          <w:rFonts w:asciiTheme="majorHAnsi" w:hAnsiTheme="majorHAnsi"/>
          <w:b/>
          <w:bCs/>
          <w:i/>
          <w:iCs/>
        </w:rPr>
        <w:br/>
        <w:t xml:space="preserve">Heterogeneity </w:t>
      </w:r>
    </w:p>
    <w:p w:rsidR="001805A3" w:rsidRPr="009D7320" w:rsidRDefault="001805A3"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Studies that are trying to answer the same question may still differ with respect to the exact population, interventions/exposure, outcomes and designs used. Even where these factors are homogeneous, heterogeneity may still exist because of clinical differences, methodological differences or unknown study characteristics. </w:t>
      </w:r>
    </w:p>
    <w:p w:rsidR="007D6ED6" w:rsidRPr="009D7320" w:rsidRDefault="007D6ED6" w:rsidP="007D6ED6">
      <w:pPr>
        <w:pStyle w:val="Default"/>
        <w:rPr>
          <w:rFonts w:asciiTheme="majorHAnsi" w:hAnsiTheme="majorHAnsi"/>
        </w:rPr>
      </w:pPr>
      <w:r w:rsidRPr="009D7320">
        <w:rPr>
          <w:rFonts w:asciiTheme="majorHAnsi" w:hAnsiTheme="majorHAnsi"/>
        </w:rPr>
        <w:t xml:space="preserve">Heterogeneity can be explored using </w:t>
      </w:r>
      <w:r w:rsidRPr="009D7320">
        <w:rPr>
          <w:rFonts w:asciiTheme="majorHAnsi" w:hAnsiTheme="majorHAnsi"/>
          <w:b/>
          <w:bCs/>
        </w:rPr>
        <w:t>Galbraith (radial) plots</w:t>
      </w:r>
      <w:r w:rsidRPr="009D7320">
        <w:rPr>
          <w:rFonts w:asciiTheme="majorHAnsi" w:hAnsiTheme="majorHAnsi"/>
        </w:rPr>
        <w:t xml:space="preserve">. But remember, if too much heterogeneity exists, it might not be appropriate to pool the studies. </w:t>
      </w:r>
    </w:p>
    <w:p w:rsidR="007D6ED6" w:rsidRPr="009D7320" w:rsidRDefault="007D6ED6" w:rsidP="007D6ED6">
      <w:pPr>
        <w:pStyle w:val="Default"/>
        <w:rPr>
          <w:rFonts w:asciiTheme="majorHAnsi" w:hAnsiTheme="majorHAnsi"/>
          <w:b/>
          <w:bCs/>
        </w:rPr>
      </w:pPr>
    </w:p>
    <w:p w:rsidR="007D6ED6" w:rsidRPr="009D7320" w:rsidRDefault="007D6ED6" w:rsidP="007D6ED6">
      <w:pPr>
        <w:pStyle w:val="Default"/>
        <w:rPr>
          <w:rFonts w:asciiTheme="majorHAnsi" w:hAnsiTheme="majorHAnsi"/>
        </w:rPr>
      </w:pPr>
      <w:r w:rsidRPr="009D7320">
        <w:rPr>
          <w:rFonts w:asciiTheme="majorHAnsi" w:hAnsiTheme="majorHAnsi"/>
          <w:b/>
          <w:bCs/>
        </w:rPr>
        <w:t xml:space="preserve">Limitations in conducting systematic reviews </w:t>
      </w:r>
    </w:p>
    <w:p w:rsidR="007D6ED6" w:rsidRPr="009D7320" w:rsidRDefault="007D6ED6" w:rsidP="007D6ED6">
      <w:pPr>
        <w:pStyle w:val="Default"/>
        <w:rPr>
          <w:rFonts w:asciiTheme="majorHAnsi" w:hAnsiTheme="majorHAnsi"/>
        </w:rPr>
      </w:pPr>
      <w:r w:rsidRPr="009D7320">
        <w:rPr>
          <w:rFonts w:asciiTheme="majorHAnsi" w:hAnsiTheme="majorHAnsi"/>
        </w:rPr>
        <w:t xml:space="preserve">If the methodological quality of studies is inadequate then the findings of reviews of this material may also be compromised. </w:t>
      </w:r>
    </w:p>
    <w:p w:rsidR="007D6ED6" w:rsidRPr="009D7320" w:rsidRDefault="007D6ED6" w:rsidP="007D6ED6">
      <w:pPr>
        <w:pStyle w:val="Default"/>
        <w:rPr>
          <w:rFonts w:asciiTheme="majorHAnsi" w:hAnsiTheme="majorHAnsi"/>
        </w:rPr>
      </w:pPr>
      <w:r w:rsidRPr="009D7320">
        <w:rPr>
          <w:rFonts w:asciiTheme="majorHAnsi" w:hAnsiTheme="majorHAnsi"/>
        </w:rPr>
        <w:t xml:space="preserve">Publication bias can distort findings because studies with statistically significant results are more likely to get published. </w:t>
      </w:r>
    </w:p>
    <w:p w:rsidR="007D6ED6" w:rsidRPr="009D7320" w:rsidRDefault="007D6ED6" w:rsidP="007D6ED6">
      <w:pPr>
        <w:pStyle w:val="Default"/>
        <w:rPr>
          <w:rFonts w:asciiTheme="majorHAnsi" w:hAnsiTheme="majorHAnsi"/>
          <w:b/>
          <w:bCs/>
        </w:rPr>
      </w:pPr>
    </w:p>
    <w:p w:rsidR="007D6ED6" w:rsidRPr="009D7320" w:rsidRDefault="007D6ED6" w:rsidP="00542C24">
      <w:pPr>
        <w:pStyle w:val="Heading4"/>
      </w:pPr>
      <w:r w:rsidRPr="009D7320">
        <w:t xml:space="preserve">Further reading </w:t>
      </w:r>
    </w:p>
    <w:p w:rsidR="007D6ED6" w:rsidRPr="009D7320" w:rsidRDefault="007D6ED6" w:rsidP="007D6ED6">
      <w:pPr>
        <w:pStyle w:val="Default"/>
        <w:rPr>
          <w:rFonts w:asciiTheme="majorHAnsi" w:hAnsiTheme="majorHAnsi"/>
        </w:rPr>
      </w:pPr>
      <w:r w:rsidRPr="009D7320">
        <w:rPr>
          <w:rFonts w:asciiTheme="majorHAnsi" w:hAnsiTheme="majorHAnsi"/>
        </w:rPr>
        <w:t xml:space="preserve">Centre for Reviews and Dissemination. </w:t>
      </w:r>
      <w:r w:rsidRPr="009D7320">
        <w:rPr>
          <w:rFonts w:asciiTheme="majorHAnsi" w:hAnsiTheme="majorHAnsi"/>
          <w:i/>
          <w:iCs/>
        </w:rPr>
        <w:t>Undertaking Systematic Reviews of Research on Effectiveness</w:t>
      </w:r>
      <w:r w:rsidRPr="009D7320">
        <w:rPr>
          <w:rFonts w:asciiTheme="majorHAnsi" w:hAnsiTheme="majorHAnsi"/>
        </w:rPr>
        <w:t xml:space="preserve">. CRD Report Number 4, March 2001 (available from </w:t>
      </w:r>
      <w:hyperlink r:id="rId31" w:history="1">
        <w:r w:rsidRPr="009D7320">
          <w:rPr>
            <w:rStyle w:val="Hyperlink"/>
            <w:rFonts w:asciiTheme="majorHAnsi" w:hAnsiTheme="majorHAnsi"/>
            <w:u w:val="none"/>
          </w:rPr>
          <w:t>http://www.york.ac.uk/inst/crd/report4.htm</w:t>
        </w:r>
      </w:hyperlink>
      <w:r w:rsidRPr="009D7320">
        <w:rPr>
          <w:rFonts w:asciiTheme="majorHAnsi" w:hAnsiTheme="majorHAnsi"/>
        </w:rPr>
        <w:t xml:space="preserve"> ) </w:t>
      </w:r>
    </w:p>
    <w:p w:rsidR="00093C7A" w:rsidRPr="009D7320" w:rsidRDefault="00093C7A"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Egger, M, Davey Smith, G, Altman, eds. DG. </w:t>
      </w:r>
      <w:r w:rsidRPr="009D7320">
        <w:rPr>
          <w:rFonts w:asciiTheme="majorHAnsi" w:hAnsiTheme="majorHAnsi"/>
          <w:i/>
          <w:iCs/>
        </w:rPr>
        <w:t>Systematic Reviews in Health Care</w:t>
      </w:r>
      <w:r w:rsidRPr="009D7320">
        <w:rPr>
          <w:rFonts w:asciiTheme="majorHAnsi" w:hAnsiTheme="majorHAnsi"/>
        </w:rPr>
        <w:t xml:space="preserve">, BMJ Publishing Group, 2001. </w:t>
      </w:r>
    </w:p>
    <w:p w:rsidR="00093C7A" w:rsidRPr="009D7320" w:rsidRDefault="00093C7A"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Greenhalgh, T. </w:t>
      </w:r>
      <w:r w:rsidRPr="009D7320">
        <w:rPr>
          <w:rFonts w:asciiTheme="majorHAnsi" w:hAnsiTheme="majorHAnsi"/>
          <w:i/>
          <w:iCs/>
        </w:rPr>
        <w:t xml:space="preserve">How to read a paper: Papers that summarise other papers (systematic reviews and meta-analyses). </w:t>
      </w:r>
      <w:r w:rsidRPr="009D7320">
        <w:rPr>
          <w:rFonts w:asciiTheme="majorHAnsi" w:hAnsiTheme="majorHAnsi"/>
        </w:rPr>
        <w:t xml:space="preserve">BMJ 1997;315:672-675. </w:t>
      </w:r>
    </w:p>
    <w:p w:rsidR="00093C7A" w:rsidRPr="009D7320" w:rsidRDefault="00093C7A" w:rsidP="007D6ED6">
      <w:pPr>
        <w:pStyle w:val="Default"/>
        <w:rPr>
          <w:rFonts w:asciiTheme="majorHAnsi" w:hAnsiTheme="majorHAnsi"/>
        </w:rPr>
      </w:pPr>
    </w:p>
    <w:p w:rsidR="007D6ED6" w:rsidRPr="009D7320" w:rsidRDefault="007D6ED6" w:rsidP="007D6ED6">
      <w:pPr>
        <w:pStyle w:val="Default"/>
        <w:rPr>
          <w:rFonts w:asciiTheme="majorHAnsi" w:hAnsiTheme="majorHAnsi"/>
        </w:rPr>
      </w:pPr>
      <w:r w:rsidRPr="009D7320">
        <w:rPr>
          <w:rFonts w:asciiTheme="majorHAnsi" w:hAnsiTheme="majorHAnsi"/>
        </w:rPr>
        <w:t xml:space="preserve">Khan, KS, Kunz, R, Kleijnen, J &amp; Antes, G. </w:t>
      </w:r>
      <w:r w:rsidRPr="009D7320">
        <w:rPr>
          <w:rFonts w:asciiTheme="majorHAnsi" w:hAnsiTheme="majorHAnsi"/>
          <w:i/>
          <w:iCs/>
        </w:rPr>
        <w:t xml:space="preserve">Systematic Reviews to support Evidence-based Medicine. </w:t>
      </w:r>
      <w:r w:rsidRPr="009D7320">
        <w:rPr>
          <w:rFonts w:asciiTheme="majorHAnsi" w:hAnsiTheme="majorHAnsi"/>
        </w:rPr>
        <w:t xml:space="preserve">The Royal Soceity of Medicine Press Ltd. 2003. </w:t>
      </w:r>
    </w:p>
    <w:p w:rsidR="00093C7A" w:rsidRPr="009D7320" w:rsidRDefault="00093C7A" w:rsidP="007D6ED6">
      <w:pPr>
        <w:rPr>
          <w:rFonts w:asciiTheme="majorHAnsi" w:hAnsiTheme="majorHAnsi"/>
        </w:rPr>
      </w:pPr>
    </w:p>
    <w:p w:rsidR="007D6ED6" w:rsidRPr="009D7320" w:rsidRDefault="007D6ED6" w:rsidP="007D6ED6">
      <w:pPr>
        <w:rPr>
          <w:rFonts w:asciiTheme="majorHAnsi" w:hAnsiTheme="majorHAnsi"/>
          <w:lang w:val="en-GB" w:eastAsia="en-GB"/>
        </w:rPr>
      </w:pPr>
      <w:r w:rsidRPr="009D7320">
        <w:rPr>
          <w:rFonts w:asciiTheme="majorHAnsi" w:hAnsiTheme="majorHAnsi"/>
        </w:rPr>
        <w:t xml:space="preserve">The Cochrane Collaboration: </w:t>
      </w:r>
      <w:hyperlink r:id="rId32" w:history="1">
        <w:r w:rsidRPr="009D7320">
          <w:rPr>
            <w:rStyle w:val="Hyperlink"/>
            <w:rFonts w:asciiTheme="majorHAnsi" w:hAnsiTheme="majorHAnsi"/>
            <w:u w:val="none"/>
          </w:rPr>
          <w:t>http://www.cochrane.org</w:t>
        </w:r>
      </w:hyperlink>
      <w:r w:rsidRPr="009D7320">
        <w:rPr>
          <w:rFonts w:asciiTheme="majorHAnsi" w:hAnsiTheme="majorHAnsi"/>
        </w:rPr>
        <w:t xml:space="preserve"> </w:t>
      </w:r>
    </w:p>
    <w:p w:rsidR="00857D02" w:rsidRPr="009D7320" w:rsidRDefault="00857D02" w:rsidP="00857D02"/>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857D02" w:rsidRPr="009D7320" w:rsidTr="00404BAE">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857D02" w:rsidRPr="009D7320" w:rsidTr="00404BAE">
        <w:trPr>
          <w:trHeight w:val="684"/>
          <w:tblHeader/>
        </w:trPr>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857D02" w:rsidRPr="009D7320" w:rsidRDefault="00857D02" w:rsidP="00404BAE">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Disagree</w:t>
            </w:r>
          </w:p>
        </w:tc>
      </w:tr>
      <w:tr w:rsidR="00857D02" w:rsidRPr="009D7320" w:rsidTr="00404BAE">
        <w:trPr>
          <w:trHeight w:val="355"/>
        </w:trPr>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r>
    </w:tbl>
    <w:p w:rsidR="00857D02" w:rsidRPr="009D7320" w:rsidRDefault="00857D02" w:rsidP="00857D02">
      <w:pPr>
        <w:rPr>
          <w:rStyle w:val="Strong"/>
          <w:b w:val="0"/>
          <w:sz w:val="20"/>
          <w:szCs w:val="20"/>
        </w:rPr>
      </w:pPr>
    </w:p>
    <w:p w:rsidR="00857D02" w:rsidRPr="009D7320" w:rsidRDefault="00857D02" w:rsidP="00857D02">
      <w:pPr>
        <w:rPr>
          <w:rStyle w:val="Strong"/>
          <w:b w:val="0"/>
          <w:sz w:val="20"/>
          <w:szCs w:val="20"/>
        </w:rPr>
      </w:pPr>
    </w:p>
    <w:p w:rsidR="00857D02" w:rsidRPr="009D7320" w:rsidRDefault="00412352" w:rsidP="00857D02">
      <w:pPr>
        <w:rPr>
          <w:rStyle w:val="Strong"/>
          <w:b w:val="0"/>
          <w:sz w:val="20"/>
          <w:szCs w:val="20"/>
        </w:rPr>
      </w:pPr>
      <w:r w:rsidRPr="009D7320">
        <w:rPr>
          <w:rStyle w:val="Strong"/>
          <w:b w:val="0"/>
          <w:sz w:val="20"/>
          <w:szCs w:val="20"/>
        </w:rPr>
        <w:t>One useful learning point I would like to remember from this session:</w:t>
      </w:r>
      <w:r w:rsidR="00857D02" w:rsidRPr="009D7320">
        <w:rPr>
          <w:rStyle w:val="Strong"/>
          <w:b w:val="0"/>
          <w:sz w:val="20"/>
          <w:szCs w:val="20"/>
        </w:rPr>
        <w:t>.</w:t>
      </w:r>
    </w:p>
    <w:p w:rsidR="00857D02" w:rsidRPr="009D7320" w:rsidRDefault="00857D02" w:rsidP="00857D02">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857D02" w:rsidRPr="009D7320" w:rsidTr="00404BAE">
        <w:tc>
          <w:tcPr>
            <w:tcW w:w="10206" w:type="dxa"/>
          </w:tcPr>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tc>
      </w:tr>
    </w:tbl>
    <w:p w:rsidR="00542C24" w:rsidRDefault="00542C24" w:rsidP="009D7320">
      <w:pPr>
        <w:pStyle w:val="Heading1"/>
        <w:spacing w:before="0"/>
        <w:rPr>
          <w:rFonts w:eastAsia="Calibri"/>
          <w:lang w:eastAsia="en-GB"/>
        </w:rPr>
      </w:pPr>
    </w:p>
    <w:p w:rsidR="009D7320" w:rsidRDefault="009D7320">
      <w:pPr>
        <w:rPr>
          <w:lang w:eastAsia="en-GB"/>
        </w:rPr>
      </w:pPr>
      <w:r>
        <w:rPr>
          <w:lang w:eastAsia="en-GB"/>
        </w:rPr>
        <w:br w:type="page"/>
      </w:r>
    </w:p>
    <w:p w:rsidR="009D7320" w:rsidRPr="009D7320" w:rsidRDefault="009D7320" w:rsidP="009D7320">
      <w:pPr>
        <w:rPr>
          <w:lang w:eastAsia="en-GB"/>
        </w:rPr>
      </w:pPr>
    </w:p>
    <w:p w:rsidR="00F115EB" w:rsidRPr="009D7320" w:rsidRDefault="00041E34" w:rsidP="009D7320">
      <w:pPr>
        <w:pStyle w:val="Heading1"/>
        <w:spacing w:before="0"/>
        <w:rPr>
          <w:rFonts w:eastAsia="Calibri"/>
          <w:lang w:val="en-GB" w:eastAsia="en-GB"/>
        </w:rPr>
      </w:pPr>
      <w:r w:rsidRPr="009D7320">
        <w:rPr>
          <w:rFonts w:eastAsia="Calibri"/>
          <w:lang w:val="en-GB" w:eastAsia="en-GB"/>
        </w:rPr>
        <w:t>Week 2: l</w:t>
      </w:r>
      <w:r w:rsidR="006655C1" w:rsidRPr="009D7320">
        <w:rPr>
          <w:rFonts w:eastAsia="Calibri"/>
          <w:lang w:val="en-GB" w:eastAsia="en-GB"/>
        </w:rPr>
        <w:t>ecture</w:t>
      </w:r>
      <w:r w:rsidR="00F115EB" w:rsidRPr="009D7320">
        <w:rPr>
          <w:rFonts w:eastAsia="Calibri"/>
          <w:lang w:val="en-GB" w:eastAsia="en-GB"/>
        </w:rPr>
        <w:t xml:space="preserve"> outlines, objectives and reading</w:t>
      </w:r>
    </w:p>
    <w:p w:rsidR="0083782B" w:rsidRPr="009D7320" w:rsidRDefault="0083782B" w:rsidP="0083782B"/>
    <w:p w:rsidR="00DB7C11" w:rsidRPr="009D7320" w:rsidRDefault="00DB7C11" w:rsidP="006D1645">
      <w:pPr>
        <w:pStyle w:val="Heading2"/>
      </w:pPr>
      <w:r w:rsidRPr="009D7320">
        <w:t>Lecture: Globalisation and Health</w:t>
      </w:r>
    </w:p>
    <w:p w:rsidR="00DB7C11" w:rsidRPr="009D7320" w:rsidRDefault="00DB7C11" w:rsidP="0083782B"/>
    <w:p w:rsidR="00DB7C11" w:rsidRPr="009D7320" w:rsidRDefault="00DB7C11" w:rsidP="0083782B">
      <w:r w:rsidRPr="009D7320">
        <w:t>Intended learning outcomes: by the end of this session you should be able to:</w:t>
      </w:r>
    </w:p>
    <w:p w:rsidR="00DB7C11" w:rsidRPr="009D7320" w:rsidRDefault="00DB7C11" w:rsidP="00DB7C11">
      <w:pPr>
        <w:pStyle w:val="ListParagraph"/>
        <w:numPr>
          <w:ilvl w:val="0"/>
          <w:numId w:val="32"/>
        </w:numPr>
      </w:pPr>
      <w:r w:rsidRPr="009D7320">
        <w:t>have a working definition of globalization</w:t>
      </w:r>
    </w:p>
    <w:p w:rsidR="00DB7C11" w:rsidRPr="009D7320" w:rsidRDefault="00DB7C11" w:rsidP="00DB7C11">
      <w:pPr>
        <w:pStyle w:val="ListParagraph"/>
        <w:numPr>
          <w:ilvl w:val="0"/>
          <w:numId w:val="32"/>
        </w:numPr>
      </w:pPr>
      <w:r w:rsidRPr="009D7320">
        <w:t>outline and discuss the major links between globalisation and health</w:t>
      </w:r>
    </w:p>
    <w:p w:rsidR="006D1645" w:rsidRPr="009D7320" w:rsidRDefault="006D1645" w:rsidP="00DB7C11"/>
    <w:p w:rsidR="006D1645" w:rsidRPr="009D7320" w:rsidRDefault="006D1645" w:rsidP="006D1645">
      <w:pPr>
        <w:pStyle w:val="Heading4"/>
      </w:pPr>
      <w:r w:rsidRPr="009D7320">
        <w:t>Essential reading</w:t>
      </w:r>
    </w:p>
    <w:p w:rsidR="00665104" w:rsidRPr="009D7320" w:rsidRDefault="00665104" w:rsidP="006D1645"/>
    <w:p w:rsidR="00665104" w:rsidRPr="009D7320" w:rsidRDefault="00665104" w:rsidP="006D1645">
      <w:r w:rsidRPr="009D7320">
        <w:rPr>
          <w:rFonts w:cs="Cambria"/>
        </w:rPr>
        <w:t>Benatar SR (2009). Global Health: Where to Now?, Global Health Governance, Volume II, Number 2 .</w:t>
      </w:r>
    </w:p>
    <w:p w:rsidR="00665104" w:rsidRPr="009D7320" w:rsidRDefault="00665104" w:rsidP="006D1645"/>
    <w:p w:rsidR="006D1645" w:rsidRPr="009D7320" w:rsidRDefault="006D1645" w:rsidP="006D1645">
      <w:r w:rsidRPr="009D7320">
        <w:t>Woodward et al (2005). Globalization and health: a framework for analysis and action. Bull World Health Organ. 2001;79(9):875-81.</w:t>
      </w:r>
    </w:p>
    <w:p w:rsidR="006D1645" w:rsidRPr="009D7320" w:rsidRDefault="006D1645" w:rsidP="006D1645"/>
    <w:p w:rsidR="006D1645" w:rsidRPr="009D7320" w:rsidRDefault="006D1645" w:rsidP="006D1645"/>
    <w:p w:rsidR="00DB7C11" w:rsidRPr="009D7320" w:rsidRDefault="00DB7C11" w:rsidP="006D1645">
      <w:pPr>
        <w:pStyle w:val="Heading4"/>
      </w:pPr>
      <w:r w:rsidRPr="009D7320">
        <w:t xml:space="preserve">Reference </w:t>
      </w:r>
      <w:r w:rsidR="006D1645" w:rsidRPr="009D7320">
        <w:t>Reading</w:t>
      </w:r>
    </w:p>
    <w:p w:rsidR="006D1645" w:rsidRPr="009D7320" w:rsidRDefault="006D1645" w:rsidP="006D1645"/>
    <w:p w:rsidR="006D1645" w:rsidRPr="009D7320" w:rsidRDefault="006D1645" w:rsidP="006D1645">
      <w:r w:rsidRPr="009D7320">
        <w:t xml:space="preserve">BMA (2007) Improving health for the world's poor : what can health professionals do?, London, BMA. http://www.bma.org.uk/ap.nsf/AttachmentsByTitle/PDFImprovinghealth/$FILE/improvinghealth.pdf </w:t>
      </w:r>
    </w:p>
    <w:p w:rsidR="006D1645" w:rsidRPr="009D7320" w:rsidRDefault="006D1645" w:rsidP="006D1645"/>
    <w:p w:rsidR="006D1645" w:rsidRPr="009D7320" w:rsidRDefault="006D1645" w:rsidP="006D1645">
      <w:r w:rsidRPr="009D7320">
        <w:t xml:space="preserve">Diderichsen, F., Evans, T. Whitehead, M. The Social Basis of Disparities in Health.  From Challenging inequities in health: From Ethics to action. Edited by Evans, T., Whitehead, M., Diderichsen, F. Bhuiya, A., Wirth, M. Oxford University Press. New York, 2001. </w:t>
      </w:r>
    </w:p>
    <w:p w:rsidR="006D1645" w:rsidRPr="009D7320" w:rsidRDefault="006D1645" w:rsidP="006D1645"/>
    <w:p w:rsidR="006D1645" w:rsidRPr="009D7320" w:rsidRDefault="006D1645" w:rsidP="006D1645">
      <w:r w:rsidRPr="009D7320">
        <w:t>Fidler D P, Drager N, Lee K (2009) Managing the pursuit of health and wealth: key challenges. Lancet, 373(9660): 325-331.</w:t>
      </w:r>
    </w:p>
    <w:p w:rsidR="006D1645" w:rsidRPr="009D7320" w:rsidRDefault="006D1645" w:rsidP="006D1645"/>
    <w:p w:rsidR="006D1645" w:rsidRPr="009D7320" w:rsidRDefault="006D1645" w:rsidP="006D1645">
      <w:r w:rsidRPr="009D7320">
        <w:t>Huynen M, Martens P and Hilderink HBM (2005). The health impacts of globalisation: a conceptual framework. Globalization &amp; Health., 1:14</w:t>
      </w:r>
    </w:p>
    <w:p w:rsidR="006D1645" w:rsidRPr="009D7320" w:rsidRDefault="006D1645" w:rsidP="006D1645"/>
    <w:p w:rsidR="006D1645" w:rsidRPr="009D7320" w:rsidRDefault="006D1645" w:rsidP="006D1645">
      <w:r w:rsidRPr="009D7320">
        <w:t>Medact (2005). The Global Health Curriculum: Unit 5:  Globalisation and health . Online, available at: http://www.medact.org/ (accessed 1 Sept 2012)</w:t>
      </w:r>
    </w:p>
    <w:p w:rsidR="006D1645" w:rsidRPr="009D7320" w:rsidRDefault="006D1645" w:rsidP="006D1645">
      <w:r w:rsidRPr="009D7320">
        <w:t>Navarro, V. (2004) The world health situation. International Journal of Health Services 34, 1, 1-10</w:t>
      </w:r>
    </w:p>
    <w:p w:rsidR="006D1645" w:rsidRPr="009D7320" w:rsidRDefault="006D1645" w:rsidP="006D1645"/>
    <w:p w:rsidR="006D1645" w:rsidRPr="009D7320" w:rsidRDefault="006D1645" w:rsidP="006D1645">
      <w:r w:rsidRPr="009D7320">
        <w:t>Rowson M 2007. Globalization, Debt and Poverty Reduction Strategies WHO Commission on Social Determinants of Health. Globalization and Health Knowledge Network: Research Papers. Available at: http://www.who.int/social_determinants/resources/gkn_rowson.pdf  (accessed 02.08.2011)</w:t>
      </w:r>
    </w:p>
    <w:p w:rsidR="006D1645" w:rsidRPr="009D7320" w:rsidRDefault="006D1645" w:rsidP="006D1645"/>
    <w:p w:rsidR="006D1645" w:rsidRPr="009D7320" w:rsidRDefault="006D1645" w:rsidP="006D1645">
      <w:r w:rsidRPr="009D7320">
        <w:t>Woodward et al (2005). Globalization and health: a framework for analysis and action. Bull World Health Organ. 2001;79(9):875-81.</w:t>
      </w:r>
    </w:p>
    <w:p w:rsidR="006D1645" w:rsidRPr="009D7320" w:rsidRDefault="006D1645" w:rsidP="006D1645"/>
    <w:p w:rsidR="006D1645" w:rsidRPr="009D7320" w:rsidRDefault="006D1645" w:rsidP="006D1645">
      <w:r w:rsidRPr="009D7320">
        <w:t xml:space="preserve">World Health Organisation (2005). Commission on Social Determinants of Health - final report. Available at : http://www.who.int/social_determinants/thecommission/finalreport/en/index.html </w:t>
      </w:r>
    </w:p>
    <w:p w:rsidR="006D1645" w:rsidRPr="009D7320" w:rsidRDefault="006D1645" w:rsidP="006D1645"/>
    <w:p w:rsidR="006D1645" w:rsidRPr="009D7320" w:rsidRDefault="006D1645" w:rsidP="006D1645">
      <w:r w:rsidRPr="009D7320">
        <w:t>Xu K, Evans DB, Carrin G, Aguilar-Rivera AM (2005) Designing health financing systems to reduce catastrophic health expenditure. Technical brief for policy-makers</w:t>
      </w:r>
    </w:p>
    <w:p w:rsidR="006D1645" w:rsidRPr="009D7320" w:rsidRDefault="006D1645" w:rsidP="00DB7C11"/>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DD0855" w:rsidRPr="009D7320" w:rsidTr="006F3C8A">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DD0855" w:rsidRPr="009D7320" w:rsidRDefault="00DD0855" w:rsidP="006F3C8A">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DD0855" w:rsidRPr="009D7320" w:rsidRDefault="00DD0855" w:rsidP="006F3C8A">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DD0855" w:rsidRPr="009D7320" w:rsidRDefault="00DD0855" w:rsidP="006F3C8A">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DD0855" w:rsidRPr="009D7320" w:rsidTr="006F3C8A">
        <w:trPr>
          <w:trHeight w:val="684"/>
          <w:tblHeader/>
        </w:trPr>
        <w:tc>
          <w:tcPr>
            <w:tcW w:w="709" w:type="dxa"/>
            <w:tcBorders>
              <w:top w:val="single" w:sz="4" w:space="0" w:color="auto"/>
              <w:left w:val="single" w:sz="4" w:space="0" w:color="auto"/>
              <w:bottom w:val="single" w:sz="4" w:space="0" w:color="auto"/>
              <w:right w:val="nil"/>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DD0855" w:rsidRPr="009D7320" w:rsidRDefault="00DD0855" w:rsidP="006F3C8A">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DD0855" w:rsidRPr="009D7320" w:rsidRDefault="00DD0855" w:rsidP="006F3C8A">
            <w:pPr>
              <w:rPr>
                <w:rFonts w:ascii="Arial" w:hAnsi="Arial" w:cs="Arial"/>
                <w:sz w:val="12"/>
                <w:szCs w:val="12"/>
              </w:rPr>
            </w:pPr>
            <w:r w:rsidRPr="009D7320">
              <w:rPr>
                <w:rFonts w:ascii="Arial" w:hAnsi="Arial" w:cs="Arial"/>
                <w:sz w:val="12"/>
                <w:szCs w:val="12"/>
              </w:rPr>
              <w:t>Strongly Disagree</w:t>
            </w:r>
          </w:p>
        </w:tc>
      </w:tr>
      <w:tr w:rsidR="00DD0855" w:rsidRPr="009D7320" w:rsidTr="006F3C8A">
        <w:trPr>
          <w:trHeight w:val="355"/>
        </w:trPr>
        <w:tc>
          <w:tcPr>
            <w:tcW w:w="709" w:type="dxa"/>
            <w:tcBorders>
              <w:top w:val="single" w:sz="4" w:space="0" w:color="auto"/>
              <w:left w:val="single" w:sz="4" w:space="0" w:color="auto"/>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DD0855" w:rsidRPr="009D7320" w:rsidRDefault="00DD0855" w:rsidP="006F3C8A">
            <w:pPr>
              <w:jc w:val="center"/>
              <w:rPr>
                <w:rFonts w:ascii="Arial" w:hAnsi="Arial" w:cs="Arial"/>
                <w:sz w:val="12"/>
                <w:szCs w:val="12"/>
              </w:rPr>
            </w:pPr>
            <w:r w:rsidRPr="009D7320">
              <w:rPr>
                <w:rFonts w:ascii="Arial" w:hAnsi="Arial" w:cs="Arial"/>
                <w:sz w:val="12"/>
                <w:szCs w:val="12"/>
              </w:rPr>
              <w:sym w:font="Symbol" w:char="F07F"/>
            </w:r>
          </w:p>
        </w:tc>
      </w:tr>
    </w:tbl>
    <w:p w:rsidR="00DD0855" w:rsidRPr="009D7320" w:rsidRDefault="00DD0855" w:rsidP="00DD0855">
      <w:pPr>
        <w:rPr>
          <w:rStyle w:val="Strong"/>
          <w:b w:val="0"/>
          <w:sz w:val="20"/>
          <w:szCs w:val="20"/>
        </w:rPr>
      </w:pPr>
    </w:p>
    <w:p w:rsidR="00DD0855" w:rsidRPr="009D7320" w:rsidRDefault="00DD0855" w:rsidP="00DD0855">
      <w:pPr>
        <w:rPr>
          <w:rStyle w:val="Strong"/>
          <w:b w:val="0"/>
          <w:sz w:val="20"/>
          <w:szCs w:val="20"/>
        </w:rPr>
      </w:pPr>
    </w:p>
    <w:p w:rsidR="00DD0855" w:rsidRPr="009D7320" w:rsidRDefault="00DD0855" w:rsidP="00DD0855">
      <w:pPr>
        <w:rPr>
          <w:rStyle w:val="Strong"/>
          <w:b w:val="0"/>
          <w:sz w:val="20"/>
          <w:szCs w:val="20"/>
        </w:rPr>
      </w:pPr>
      <w:r w:rsidRPr="009D7320">
        <w:rPr>
          <w:rStyle w:val="Strong"/>
          <w:b w:val="0"/>
          <w:sz w:val="20"/>
          <w:szCs w:val="20"/>
        </w:rPr>
        <w:t>One useful learning point I would like to remember from this session:.</w:t>
      </w:r>
    </w:p>
    <w:p w:rsidR="00DD0855" w:rsidRPr="009D7320" w:rsidRDefault="00DD0855" w:rsidP="00DD0855">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DD0855" w:rsidRPr="009D7320" w:rsidTr="006F3C8A">
        <w:tc>
          <w:tcPr>
            <w:tcW w:w="10206" w:type="dxa"/>
          </w:tcPr>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p w:rsidR="00DD0855" w:rsidRPr="009D7320" w:rsidRDefault="00DD0855" w:rsidP="006F3C8A">
            <w:pPr>
              <w:rPr>
                <w:rFonts w:ascii="Arial" w:hAnsi="Arial" w:cs="Arial"/>
                <w:b/>
                <w:color w:val="FF0000"/>
                <w:sz w:val="20"/>
                <w:szCs w:val="20"/>
              </w:rPr>
            </w:pPr>
          </w:p>
        </w:tc>
      </w:tr>
    </w:tbl>
    <w:p w:rsidR="00DD0855" w:rsidRPr="009D7320" w:rsidRDefault="00DD0855" w:rsidP="00DB7C11"/>
    <w:p w:rsidR="005A4FCD" w:rsidRPr="009D7320" w:rsidRDefault="005A4FCD" w:rsidP="00542C24">
      <w:pPr>
        <w:pStyle w:val="Heading2"/>
      </w:pPr>
      <w:r w:rsidRPr="009D7320">
        <w:t xml:space="preserve">Lecture: ABC of health policy for Global health </w:t>
      </w:r>
    </w:p>
    <w:p w:rsidR="005A4FCD" w:rsidRPr="009D7320" w:rsidRDefault="005A4FCD" w:rsidP="005A4FCD">
      <w:r w:rsidRPr="009D7320">
        <w:t xml:space="preserve">Intended learning Outcomes: by the end of this session you will be able to: </w:t>
      </w:r>
    </w:p>
    <w:p w:rsidR="005A4FCD" w:rsidRPr="009D7320" w:rsidRDefault="005A4FCD" w:rsidP="005A4FCD">
      <w:pPr>
        <w:pStyle w:val="ListParagraph"/>
        <w:numPr>
          <w:ilvl w:val="0"/>
          <w:numId w:val="23"/>
        </w:numPr>
      </w:pPr>
      <w:r w:rsidRPr="009D7320">
        <w:t xml:space="preserve">discuss </w:t>
      </w:r>
      <w:r w:rsidR="005D571D" w:rsidRPr="009D7320">
        <w:t>the relevance of</w:t>
      </w:r>
      <w:r w:rsidRPr="009D7320">
        <w:t xml:space="preserve"> health policy in Global Health </w:t>
      </w:r>
      <w:r w:rsidR="005D571D" w:rsidRPr="009D7320">
        <w:t>studies</w:t>
      </w:r>
    </w:p>
    <w:p w:rsidR="005A4FCD" w:rsidRPr="009D7320" w:rsidRDefault="00CE23E3" w:rsidP="005A4FCD">
      <w:pPr>
        <w:pStyle w:val="ListParagraph"/>
        <w:numPr>
          <w:ilvl w:val="0"/>
          <w:numId w:val="23"/>
        </w:numPr>
      </w:pPr>
      <w:r w:rsidRPr="009D7320">
        <w:t>d</w:t>
      </w:r>
      <w:r w:rsidR="005A4FCD" w:rsidRPr="009D7320">
        <w:t>escribe the main actors in political processes: the state, the private sector and civil society</w:t>
      </w:r>
    </w:p>
    <w:p w:rsidR="008521EF" w:rsidRPr="009D7320" w:rsidRDefault="008521EF" w:rsidP="005A4FCD">
      <w:pPr>
        <w:pStyle w:val="ListParagraph"/>
        <w:numPr>
          <w:ilvl w:val="0"/>
          <w:numId w:val="23"/>
        </w:numPr>
      </w:pPr>
      <w:r w:rsidRPr="009D7320">
        <w:t>be familiar with one of the common frameworks for health policy analysis</w:t>
      </w:r>
    </w:p>
    <w:p w:rsidR="00CE23E3" w:rsidRPr="009D7320" w:rsidRDefault="00CE23E3" w:rsidP="00CE23E3">
      <w:pPr>
        <w:pStyle w:val="ListParagraph"/>
      </w:pPr>
    </w:p>
    <w:p w:rsidR="005A4FCD" w:rsidRPr="009D7320" w:rsidRDefault="00CE23E3" w:rsidP="005A4FCD">
      <w:pPr>
        <w:rPr>
          <w:b/>
        </w:rPr>
      </w:pPr>
      <w:r w:rsidRPr="009D7320">
        <w:rPr>
          <w:b/>
        </w:rPr>
        <w:t>Essential Reading</w:t>
      </w:r>
    </w:p>
    <w:p w:rsidR="00F65A26" w:rsidRPr="009D7320" w:rsidRDefault="005A4FCD" w:rsidP="005A4FCD">
      <w:r w:rsidRPr="009D7320">
        <w:t>Buse K and Dickinson C (2007). How can the analysis of power and process in policy-making improve health outcomes? Moving the agenda forward. ODI Briefing Paper</w:t>
      </w:r>
      <w:r w:rsidR="00570BAA" w:rsidRPr="009D7320">
        <w:t xml:space="preserve"> 25</w:t>
      </w:r>
      <w:r w:rsidRPr="009D7320">
        <w:t xml:space="preserve">. </w:t>
      </w:r>
    </w:p>
    <w:p w:rsidR="00F65A26" w:rsidRPr="009D7320" w:rsidRDefault="00F65A26" w:rsidP="005A4FCD"/>
    <w:p w:rsidR="005A4FCD" w:rsidRPr="009D7320" w:rsidRDefault="005A4FCD" w:rsidP="005A4FCD">
      <w:r w:rsidRPr="009D7320">
        <w:t xml:space="preserve">Available at: </w:t>
      </w:r>
    </w:p>
    <w:p w:rsidR="005A4FCD" w:rsidRPr="009D7320" w:rsidRDefault="009D7320" w:rsidP="005A4FCD">
      <w:hyperlink r:id="rId33" w:history="1">
        <w:r w:rsidR="005A4FCD" w:rsidRPr="009D7320">
          <w:rPr>
            <w:rStyle w:val="Hyperlink"/>
            <w:u w:val="none"/>
          </w:rPr>
          <w:t>http://www.odi.org.uk/resources/docs/478.pdf</w:t>
        </w:r>
      </w:hyperlink>
      <w:r w:rsidR="005A4FCD" w:rsidRPr="009D7320">
        <w:t xml:space="preserve"> </w:t>
      </w:r>
    </w:p>
    <w:p w:rsidR="0083782B" w:rsidRPr="009D7320" w:rsidRDefault="0083782B" w:rsidP="0083782B"/>
    <w:p w:rsidR="0083782B" w:rsidRPr="009D7320" w:rsidRDefault="00CE23E3" w:rsidP="0083782B">
      <w:pPr>
        <w:rPr>
          <w:b/>
        </w:rPr>
      </w:pPr>
      <w:r w:rsidRPr="009D7320">
        <w:rPr>
          <w:b/>
        </w:rPr>
        <w:t xml:space="preserve">Further Reading </w:t>
      </w:r>
    </w:p>
    <w:p w:rsidR="00CE23E3" w:rsidRPr="009D7320" w:rsidRDefault="00CE23E3" w:rsidP="0083782B"/>
    <w:p w:rsidR="00CE23E3" w:rsidRPr="009D7320" w:rsidRDefault="00CE23E3" w:rsidP="0083782B">
      <w:r w:rsidRPr="009D7320">
        <w:t xml:space="preserve">Buse K, Mays N, Walt G. Chapter 1: </w:t>
      </w:r>
      <w:r w:rsidR="007020B1" w:rsidRPr="009D7320">
        <w:t>The Health P</w:t>
      </w:r>
      <w:r w:rsidRPr="009D7320">
        <w:t>olicy Framework: context, process and actors. .In: Making health policy. Maidenhead: McGraw-Hill/Oxford University Press; 2005</w:t>
      </w:r>
    </w:p>
    <w:p w:rsidR="00542C24" w:rsidRPr="009D7320" w:rsidRDefault="00542C24" w:rsidP="0083782B"/>
    <w:p w:rsidR="00542C24" w:rsidRPr="009D7320" w:rsidRDefault="00542C24" w:rsidP="0083782B"/>
    <w:p w:rsidR="009D7320" w:rsidRDefault="009D7320">
      <w:r>
        <w:br w:type="page"/>
      </w:r>
    </w:p>
    <w:p w:rsidR="00857D02" w:rsidRPr="009D7320" w:rsidRDefault="00857D02" w:rsidP="00857D02"/>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857D02" w:rsidRPr="009D7320" w:rsidTr="00404BAE">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857D02" w:rsidRPr="009D7320" w:rsidRDefault="00857D02" w:rsidP="00404BAE">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857D02" w:rsidRPr="009D7320" w:rsidTr="00404BAE">
        <w:trPr>
          <w:trHeight w:val="684"/>
          <w:tblHeader/>
        </w:trPr>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857D02" w:rsidRPr="009D7320" w:rsidRDefault="00857D02" w:rsidP="00404BAE">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857D02" w:rsidRPr="009D7320" w:rsidRDefault="00857D02" w:rsidP="00404BAE">
            <w:pPr>
              <w:rPr>
                <w:rFonts w:ascii="Arial" w:hAnsi="Arial" w:cs="Arial"/>
                <w:sz w:val="12"/>
                <w:szCs w:val="12"/>
              </w:rPr>
            </w:pPr>
            <w:r w:rsidRPr="009D7320">
              <w:rPr>
                <w:rFonts w:ascii="Arial" w:hAnsi="Arial" w:cs="Arial"/>
                <w:sz w:val="12"/>
                <w:szCs w:val="12"/>
              </w:rPr>
              <w:t>Strongly Disagree</w:t>
            </w:r>
          </w:p>
        </w:tc>
      </w:tr>
      <w:tr w:rsidR="00857D02" w:rsidRPr="009D7320" w:rsidTr="00404BAE">
        <w:trPr>
          <w:trHeight w:val="355"/>
        </w:trPr>
        <w:tc>
          <w:tcPr>
            <w:tcW w:w="709"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857D02" w:rsidRPr="009D7320" w:rsidRDefault="00857D02" w:rsidP="00404BAE">
            <w:pPr>
              <w:jc w:val="center"/>
              <w:rPr>
                <w:rFonts w:ascii="Arial" w:hAnsi="Arial" w:cs="Arial"/>
                <w:sz w:val="12"/>
                <w:szCs w:val="12"/>
              </w:rPr>
            </w:pPr>
            <w:r w:rsidRPr="009D7320">
              <w:rPr>
                <w:rFonts w:ascii="Arial" w:hAnsi="Arial" w:cs="Arial"/>
                <w:sz w:val="12"/>
                <w:szCs w:val="12"/>
              </w:rPr>
              <w:sym w:font="Symbol" w:char="F07F"/>
            </w:r>
          </w:p>
        </w:tc>
      </w:tr>
    </w:tbl>
    <w:p w:rsidR="00857D02" w:rsidRPr="009D7320" w:rsidRDefault="00857D02" w:rsidP="00857D02">
      <w:pPr>
        <w:rPr>
          <w:rStyle w:val="Strong"/>
          <w:b w:val="0"/>
          <w:sz w:val="20"/>
          <w:szCs w:val="20"/>
        </w:rPr>
      </w:pPr>
    </w:p>
    <w:p w:rsidR="00857D02" w:rsidRPr="009D7320" w:rsidRDefault="00857D02" w:rsidP="00857D02">
      <w:pPr>
        <w:rPr>
          <w:rStyle w:val="Strong"/>
          <w:b w:val="0"/>
          <w:sz w:val="20"/>
          <w:szCs w:val="20"/>
        </w:rPr>
      </w:pPr>
    </w:p>
    <w:p w:rsidR="00857D02" w:rsidRPr="009D7320" w:rsidRDefault="00857D02" w:rsidP="00857D02">
      <w:pPr>
        <w:rPr>
          <w:rStyle w:val="Strong"/>
          <w:b w:val="0"/>
          <w:sz w:val="20"/>
          <w:szCs w:val="20"/>
        </w:rPr>
      </w:pPr>
      <w:r w:rsidRPr="009D7320">
        <w:rPr>
          <w:rStyle w:val="Strong"/>
          <w:b w:val="0"/>
          <w:sz w:val="20"/>
          <w:szCs w:val="20"/>
        </w:rPr>
        <w:t>The most important thing I’ve learnt today is.............</w:t>
      </w:r>
    </w:p>
    <w:p w:rsidR="00857D02" w:rsidRPr="009D7320" w:rsidRDefault="00857D02" w:rsidP="00857D02">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857D02" w:rsidRPr="009D7320" w:rsidTr="00404BAE">
        <w:tc>
          <w:tcPr>
            <w:tcW w:w="10206" w:type="dxa"/>
          </w:tcPr>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p w:rsidR="00857D02" w:rsidRPr="009D7320" w:rsidRDefault="00857D02" w:rsidP="00404BAE">
            <w:pPr>
              <w:rPr>
                <w:rFonts w:ascii="Arial" w:hAnsi="Arial" w:cs="Arial"/>
                <w:b/>
                <w:color w:val="FF0000"/>
                <w:sz w:val="20"/>
                <w:szCs w:val="20"/>
              </w:rPr>
            </w:pPr>
          </w:p>
        </w:tc>
      </w:tr>
    </w:tbl>
    <w:p w:rsidR="002E43DD" w:rsidRPr="009D7320" w:rsidRDefault="002E43DD" w:rsidP="002E43DD"/>
    <w:p w:rsidR="002E43DD" w:rsidRPr="009D7320" w:rsidRDefault="002E43DD" w:rsidP="002E43DD"/>
    <w:p w:rsidR="002E43DD" w:rsidRPr="009D7320" w:rsidRDefault="002E43DD" w:rsidP="002E43DD"/>
    <w:p w:rsidR="000E0586" w:rsidRPr="009D7320" w:rsidRDefault="00615EA7" w:rsidP="00615EA7">
      <w:pPr>
        <w:pStyle w:val="Heading2"/>
      </w:pPr>
      <w:r w:rsidRPr="009D7320">
        <w:t>Lecture: Crash Course in Methods # 4: The Politics of Evidence</w:t>
      </w:r>
    </w:p>
    <w:p w:rsidR="00615EA7" w:rsidRPr="009D7320" w:rsidRDefault="00615EA7"/>
    <w:p w:rsidR="00615EA7" w:rsidRPr="009D7320" w:rsidRDefault="00615EA7">
      <w:r w:rsidRPr="009D7320">
        <w:t>Essential Reading</w:t>
      </w:r>
    </w:p>
    <w:p w:rsidR="00615EA7" w:rsidRPr="009D7320" w:rsidRDefault="00615EA7"/>
    <w:p w:rsidR="00615EA7" w:rsidRPr="009D7320" w:rsidRDefault="00615EA7" w:rsidP="00615EA7">
      <w:r w:rsidRPr="009D7320">
        <w:t xml:space="preserve">McKee M, Stuckler D, Basu S (2012) Where There Is No Health Research: What Can Be Done to Fill the Global Gaps in Health Research? PLoS Med 9(4): e1001209. doi:10.1371/journal.pmed.1001209 </w:t>
      </w:r>
    </w:p>
    <w:p w:rsidR="00751C0F" w:rsidRPr="009D7320" w:rsidRDefault="00751C0F" w:rsidP="00751C0F"/>
    <w:p w:rsidR="00751C0F" w:rsidRPr="009D7320" w:rsidRDefault="00751C0F" w:rsidP="00751C0F"/>
    <w:tbl>
      <w:tblPr>
        <w:tblW w:w="102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709"/>
        <w:gridCol w:w="708"/>
        <w:gridCol w:w="708"/>
        <w:gridCol w:w="567"/>
        <w:gridCol w:w="709"/>
        <w:gridCol w:w="709"/>
        <w:gridCol w:w="709"/>
        <w:gridCol w:w="709"/>
        <w:gridCol w:w="234"/>
        <w:gridCol w:w="333"/>
        <w:gridCol w:w="356"/>
        <w:gridCol w:w="353"/>
        <w:gridCol w:w="356"/>
        <w:gridCol w:w="353"/>
        <w:gridCol w:w="356"/>
        <w:gridCol w:w="387"/>
      </w:tblGrid>
      <w:tr w:rsidR="00751C0F" w:rsidRPr="009D7320" w:rsidTr="006F3C8A">
        <w:trPr>
          <w:trHeight w:val="684"/>
          <w:tblHeader/>
        </w:trPr>
        <w:tc>
          <w:tcPr>
            <w:tcW w:w="3402" w:type="dxa"/>
            <w:gridSpan w:val="5"/>
            <w:tcBorders>
              <w:top w:val="single" w:sz="4" w:space="0" w:color="auto"/>
              <w:left w:val="single" w:sz="4" w:space="0" w:color="auto"/>
              <w:bottom w:val="single" w:sz="4" w:space="0" w:color="auto"/>
              <w:right w:val="single" w:sz="4" w:space="0" w:color="auto"/>
            </w:tcBorders>
            <w:vAlign w:val="center"/>
          </w:tcPr>
          <w:p w:rsidR="00751C0F" w:rsidRPr="009D7320" w:rsidRDefault="00751C0F" w:rsidP="006F3C8A">
            <w:pPr>
              <w:jc w:val="center"/>
              <w:rPr>
                <w:rFonts w:ascii="Arial" w:hAnsi="Arial" w:cs="Arial"/>
                <w:b/>
                <w:sz w:val="16"/>
                <w:szCs w:val="16"/>
              </w:rPr>
            </w:pPr>
            <w:r w:rsidRPr="009D7320">
              <w:rPr>
                <w:rFonts w:ascii="Arial" w:hAnsi="Arial" w:cs="Arial"/>
                <w:b/>
                <w:color w:val="000000"/>
                <w:sz w:val="16"/>
                <w:szCs w:val="16"/>
                <w:lang w:eastAsia="en-GB"/>
              </w:rPr>
              <w:t>The lecture(s) are well structured</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751C0F" w:rsidRPr="009D7320" w:rsidRDefault="00751C0F" w:rsidP="006F3C8A">
            <w:pPr>
              <w:tabs>
                <w:tab w:val="left" w:pos="771"/>
              </w:tabs>
              <w:rPr>
                <w:rFonts w:ascii="Arial" w:hAnsi="Arial" w:cs="Arial"/>
                <w:b/>
                <w:sz w:val="16"/>
                <w:szCs w:val="16"/>
              </w:rPr>
            </w:pPr>
            <w:r w:rsidRPr="009D7320">
              <w:rPr>
                <w:rFonts w:ascii="Arial" w:hAnsi="Arial" w:cs="Arial"/>
                <w:b/>
                <w:color w:val="000000"/>
                <w:sz w:val="16"/>
                <w:szCs w:val="16"/>
                <w:lang w:eastAsia="en-GB"/>
              </w:rPr>
              <w:t>The lecturer explains concepts clearly</w:t>
            </w:r>
          </w:p>
        </w:tc>
        <w:tc>
          <w:tcPr>
            <w:tcW w:w="3437" w:type="dxa"/>
            <w:gridSpan w:val="9"/>
            <w:tcBorders>
              <w:top w:val="single" w:sz="4" w:space="0" w:color="auto"/>
              <w:left w:val="single" w:sz="4" w:space="0" w:color="auto"/>
              <w:bottom w:val="single" w:sz="4" w:space="0" w:color="auto"/>
              <w:right w:val="single" w:sz="4" w:space="0" w:color="auto"/>
            </w:tcBorders>
            <w:vAlign w:val="center"/>
          </w:tcPr>
          <w:p w:rsidR="00751C0F" w:rsidRPr="009D7320" w:rsidRDefault="00751C0F" w:rsidP="006F3C8A">
            <w:pPr>
              <w:jc w:val="center"/>
              <w:rPr>
                <w:rFonts w:ascii="Arial" w:hAnsi="Arial" w:cs="Arial"/>
                <w:b/>
                <w:sz w:val="16"/>
                <w:szCs w:val="16"/>
              </w:rPr>
            </w:pPr>
            <w:r w:rsidRPr="009D7320">
              <w:rPr>
                <w:rFonts w:ascii="Arial" w:hAnsi="Arial" w:cs="Arial"/>
                <w:b/>
                <w:color w:val="000000"/>
                <w:sz w:val="16"/>
                <w:szCs w:val="16"/>
                <w:lang w:eastAsia="en-GB"/>
              </w:rPr>
              <w:t>The lecturer engages well with the students</w:t>
            </w:r>
          </w:p>
        </w:tc>
      </w:tr>
      <w:tr w:rsidR="00751C0F" w:rsidRPr="009D7320" w:rsidTr="006F3C8A">
        <w:trPr>
          <w:trHeight w:val="684"/>
          <w:tblHeader/>
        </w:trPr>
        <w:tc>
          <w:tcPr>
            <w:tcW w:w="709" w:type="dxa"/>
            <w:tcBorders>
              <w:top w:val="single" w:sz="4" w:space="0" w:color="auto"/>
              <w:left w:val="single" w:sz="4" w:space="0" w:color="auto"/>
              <w:bottom w:val="single" w:sz="4" w:space="0" w:color="auto"/>
              <w:right w:val="nil"/>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Strongly Agree</w:t>
            </w:r>
          </w:p>
        </w:tc>
        <w:tc>
          <w:tcPr>
            <w:tcW w:w="567" w:type="dxa"/>
            <w:tcBorders>
              <w:top w:val="nil"/>
              <w:left w:val="nil"/>
              <w:bottom w:val="single" w:sz="4" w:space="0" w:color="auto"/>
              <w:right w:val="nil"/>
            </w:tcBorders>
            <w:vAlign w:val="center"/>
          </w:tcPr>
          <w:p w:rsidR="00751C0F" w:rsidRPr="009D7320" w:rsidRDefault="00751C0F" w:rsidP="006F3C8A">
            <w:pPr>
              <w:ind w:left="-166" w:firstLine="108"/>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Disagree</w:t>
            </w:r>
          </w:p>
        </w:tc>
        <w:tc>
          <w:tcPr>
            <w:tcW w:w="708" w:type="dxa"/>
            <w:tcBorders>
              <w:top w:val="single" w:sz="4" w:space="0" w:color="auto"/>
              <w:left w:val="nil"/>
              <w:bottom w:val="single" w:sz="4" w:space="0" w:color="auto"/>
              <w:right w:val="single" w:sz="4" w:space="0" w:color="auto"/>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Strongly Disagree</w:t>
            </w:r>
          </w:p>
        </w:tc>
        <w:tc>
          <w:tcPr>
            <w:tcW w:w="708" w:type="dxa"/>
            <w:tcBorders>
              <w:top w:val="single" w:sz="4" w:space="0" w:color="auto"/>
              <w:left w:val="single" w:sz="4" w:space="0" w:color="auto"/>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Strongly Agree</w:t>
            </w:r>
          </w:p>
        </w:tc>
        <w:tc>
          <w:tcPr>
            <w:tcW w:w="567" w:type="dxa"/>
            <w:tcBorders>
              <w:top w:val="single" w:sz="4" w:space="0" w:color="auto"/>
              <w:left w:val="nil"/>
              <w:bottom w:val="single" w:sz="4" w:space="0" w:color="auto"/>
              <w:right w:val="nil"/>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Agree</w:t>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Neutral</w:t>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Disagree</w:t>
            </w:r>
          </w:p>
        </w:tc>
        <w:tc>
          <w:tcPr>
            <w:tcW w:w="709" w:type="dxa"/>
            <w:tcBorders>
              <w:top w:val="single" w:sz="4" w:space="0" w:color="auto"/>
              <w:left w:val="nil"/>
              <w:bottom w:val="single" w:sz="4" w:space="0" w:color="auto"/>
              <w:right w:val="single" w:sz="4" w:space="0" w:color="auto"/>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Strongly Disagree</w:t>
            </w:r>
          </w:p>
        </w:tc>
        <w:tc>
          <w:tcPr>
            <w:tcW w:w="709" w:type="dxa"/>
            <w:tcBorders>
              <w:top w:val="single" w:sz="4" w:space="0" w:color="auto"/>
              <w:left w:val="single" w:sz="4" w:space="0" w:color="auto"/>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Strongly Agree</w:t>
            </w:r>
          </w:p>
        </w:tc>
        <w:tc>
          <w:tcPr>
            <w:tcW w:w="567" w:type="dxa"/>
            <w:gridSpan w:val="2"/>
            <w:tcBorders>
              <w:top w:val="single" w:sz="4" w:space="0" w:color="auto"/>
              <w:left w:val="nil"/>
              <w:bottom w:val="single" w:sz="4" w:space="0" w:color="auto"/>
              <w:right w:val="nil"/>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Agree</w:t>
            </w:r>
          </w:p>
        </w:tc>
        <w:tc>
          <w:tcPr>
            <w:tcW w:w="709" w:type="dxa"/>
            <w:gridSpan w:val="2"/>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Neutral</w:t>
            </w:r>
          </w:p>
        </w:tc>
        <w:tc>
          <w:tcPr>
            <w:tcW w:w="709" w:type="dxa"/>
            <w:gridSpan w:val="2"/>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t>Disagree</w:t>
            </w:r>
          </w:p>
        </w:tc>
        <w:tc>
          <w:tcPr>
            <w:tcW w:w="743" w:type="dxa"/>
            <w:gridSpan w:val="2"/>
            <w:tcBorders>
              <w:top w:val="single" w:sz="4" w:space="0" w:color="auto"/>
              <w:left w:val="nil"/>
              <w:bottom w:val="single" w:sz="4" w:space="0" w:color="auto"/>
              <w:right w:val="single" w:sz="4" w:space="0" w:color="auto"/>
            </w:tcBorders>
            <w:vAlign w:val="center"/>
          </w:tcPr>
          <w:p w:rsidR="00751C0F" w:rsidRPr="009D7320" w:rsidRDefault="00751C0F" w:rsidP="006F3C8A">
            <w:pPr>
              <w:rPr>
                <w:rFonts w:ascii="Arial" w:hAnsi="Arial" w:cs="Arial"/>
                <w:sz w:val="12"/>
                <w:szCs w:val="12"/>
              </w:rPr>
            </w:pPr>
            <w:r w:rsidRPr="009D7320">
              <w:rPr>
                <w:rFonts w:ascii="Arial" w:hAnsi="Arial" w:cs="Arial"/>
                <w:sz w:val="12"/>
                <w:szCs w:val="12"/>
              </w:rPr>
              <w:t>Strongly Disagree</w:t>
            </w:r>
          </w:p>
        </w:tc>
      </w:tr>
      <w:tr w:rsidR="00751C0F" w:rsidRPr="009D7320" w:rsidTr="006F3C8A">
        <w:trPr>
          <w:trHeight w:val="355"/>
        </w:trPr>
        <w:tc>
          <w:tcPr>
            <w:tcW w:w="709" w:type="dxa"/>
            <w:tcBorders>
              <w:top w:val="single" w:sz="4" w:space="0" w:color="auto"/>
              <w:left w:val="single" w:sz="4" w:space="0" w:color="auto"/>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nil"/>
              <w:bottom w:val="single" w:sz="4" w:space="0" w:color="auto"/>
              <w:right w:val="single" w:sz="4" w:space="0" w:color="auto"/>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8" w:type="dxa"/>
            <w:tcBorders>
              <w:top w:val="single" w:sz="4" w:space="0" w:color="auto"/>
              <w:left w:val="single" w:sz="4" w:space="0" w:color="auto"/>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567"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tcBorders>
              <w:top w:val="single" w:sz="4" w:space="0" w:color="auto"/>
              <w:left w:val="nil"/>
              <w:bottom w:val="single" w:sz="4" w:space="0" w:color="auto"/>
              <w:right w:val="single" w:sz="4" w:space="0" w:color="auto"/>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943" w:type="dxa"/>
            <w:gridSpan w:val="2"/>
            <w:tcBorders>
              <w:top w:val="single" w:sz="4" w:space="0" w:color="auto"/>
              <w:left w:val="single" w:sz="4" w:space="0" w:color="auto"/>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689" w:type="dxa"/>
            <w:gridSpan w:val="2"/>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709" w:type="dxa"/>
            <w:gridSpan w:val="2"/>
            <w:tcBorders>
              <w:top w:val="single" w:sz="4" w:space="0" w:color="auto"/>
              <w:left w:val="nil"/>
              <w:bottom w:val="single" w:sz="4" w:space="0" w:color="auto"/>
              <w:right w:val="nil"/>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c>
          <w:tcPr>
            <w:tcW w:w="387" w:type="dxa"/>
            <w:tcBorders>
              <w:top w:val="single" w:sz="4" w:space="0" w:color="auto"/>
              <w:left w:val="nil"/>
              <w:bottom w:val="single" w:sz="4" w:space="0" w:color="auto"/>
              <w:right w:val="single" w:sz="4" w:space="0" w:color="auto"/>
            </w:tcBorders>
            <w:vAlign w:val="center"/>
          </w:tcPr>
          <w:p w:rsidR="00751C0F" w:rsidRPr="009D7320" w:rsidRDefault="00751C0F" w:rsidP="006F3C8A">
            <w:pPr>
              <w:jc w:val="center"/>
              <w:rPr>
                <w:rFonts w:ascii="Arial" w:hAnsi="Arial" w:cs="Arial"/>
                <w:sz w:val="12"/>
                <w:szCs w:val="12"/>
              </w:rPr>
            </w:pPr>
            <w:r w:rsidRPr="009D7320">
              <w:rPr>
                <w:rFonts w:ascii="Arial" w:hAnsi="Arial" w:cs="Arial"/>
                <w:sz w:val="12"/>
                <w:szCs w:val="12"/>
              </w:rPr>
              <w:sym w:font="Symbol" w:char="F07F"/>
            </w:r>
          </w:p>
        </w:tc>
      </w:tr>
    </w:tbl>
    <w:p w:rsidR="00751C0F" w:rsidRPr="009D7320" w:rsidRDefault="00751C0F" w:rsidP="00751C0F">
      <w:pPr>
        <w:rPr>
          <w:rStyle w:val="Strong"/>
          <w:b w:val="0"/>
          <w:sz w:val="20"/>
          <w:szCs w:val="20"/>
        </w:rPr>
      </w:pPr>
    </w:p>
    <w:p w:rsidR="00751C0F" w:rsidRPr="009D7320" w:rsidRDefault="00751C0F" w:rsidP="00751C0F">
      <w:pPr>
        <w:rPr>
          <w:rStyle w:val="Strong"/>
          <w:b w:val="0"/>
          <w:sz w:val="20"/>
          <w:szCs w:val="20"/>
        </w:rPr>
      </w:pPr>
    </w:p>
    <w:p w:rsidR="00751C0F" w:rsidRPr="009D7320" w:rsidRDefault="00751C0F" w:rsidP="00751C0F">
      <w:pPr>
        <w:rPr>
          <w:rStyle w:val="Strong"/>
          <w:b w:val="0"/>
          <w:sz w:val="20"/>
          <w:szCs w:val="20"/>
        </w:rPr>
      </w:pPr>
      <w:r w:rsidRPr="009D7320">
        <w:rPr>
          <w:rStyle w:val="Strong"/>
          <w:b w:val="0"/>
          <w:sz w:val="20"/>
          <w:szCs w:val="20"/>
        </w:rPr>
        <w:t>The most important thing I’ve learnt today is.............</w:t>
      </w:r>
    </w:p>
    <w:p w:rsidR="00751C0F" w:rsidRPr="009D7320" w:rsidRDefault="00751C0F" w:rsidP="00751C0F">
      <w:pPr>
        <w:rPr>
          <w:rFonts w:ascii="Arial" w:hAnsi="Arial" w:cs="Arial"/>
          <w:b/>
          <w:color w:val="FF0000"/>
          <w:sz w:val="20"/>
          <w:szCs w:val="20"/>
        </w:rPr>
      </w:pPr>
    </w:p>
    <w:tbl>
      <w:tblPr>
        <w:tblStyle w:val="TableGrid"/>
        <w:tblW w:w="10206" w:type="dxa"/>
        <w:tblInd w:w="-459" w:type="dxa"/>
        <w:tblLook w:val="04A0" w:firstRow="1" w:lastRow="0" w:firstColumn="1" w:lastColumn="0" w:noHBand="0" w:noVBand="1"/>
      </w:tblPr>
      <w:tblGrid>
        <w:gridCol w:w="10206"/>
      </w:tblGrid>
      <w:tr w:rsidR="00751C0F" w:rsidRPr="009D7320" w:rsidTr="006F3C8A">
        <w:tc>
          <w:tcPr>
            <w:tcW w:w="10206" w:type="dxa"/>
          </w:tcPr>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p w:rsidR="00751C0F" w:rsidRPr="009D7320" w:rsidRDefault="00751C0F" w:rsidP="006F3C8A">
            <w:pPr>
              <w:rPr>
                <w:rFonts w:ascii="Arial" w:hAnsi="Arial" w:cs="Arial"/>
                <w:b/>
                <w:color w:val="FF0000"/>
                <w:sz w:val="20"/>
                <w:szCs w:val="20"/>
              </w:rPr>
            </w:pPr>
          </w:p>
        </w:tc>
      </w:tr>
    </w:tbl>
    <w:p w:rsidR="00751C0F" w:rsidRPr="009D7320" w:rsidRDefault="00751C0F" w:rsidP="00751C0F"/>
    <w:p w:rsidR="00615EA7" w:rsidRPr="009D7320" w:rsidRDefault="00615EA7"/>
    <w:p w:rsidR="000E0586" w:rsidRPr="009D7320" w:rsidRDefault="000E0586" w:rsidP="000E0586">
      <w:pPr>
        <w:pStyle w:val="Title"/>
      </w:pPr>
      <w:r w:rsidRPr="009D7320">
        <w:br w:type="page"/>
        <w:t xml:space="preserve">Humanities in Global Health Introduction: </w:t>
      </w:r>
    </w:p>
    <w:p w:rsidR="000E0586" w:rsidRPr="009D7320" w:rsidRDefault="000E0586" w:rsidP="000E0586">
      <w:pPr>
        <w:pStyle w:val="Title"/>
      </w:pPr>
      <w:r w:rsidRPr="009D7320">
        <w:t>Considering Medical Humanities</w:t>
      </w:r>
    </w:p>
    <w:p w:rsidR="000E0586" w:rsidRPr="009D7320" w:rsidRDefault="000E0586" w:rsidP="000E0586"/>
    <w:p w:rsidR="000E0586" w:rsidRPr="009D7320" w:rsidRDefault="000E0586" w:rsidP="000E0586">
      <w:r w:rsidRPr="009D7320">
        <w:t>Tuesday 25 September 2012</w:t>
      </w:r>
    </w:p>
    <w:p w:rsidR="000E0586" w:rsidRPr="009D7320" w:rsidRDefault="000E0586" w:rsidP="000E0586"/>
    <w:p w:rsidR="000E0586" w:rsidRPr="009D7320" w:rsidRDefault="000E0586" w:rsidP="000E0586">
      <w:r w:rsidRPr="009D7320">
        <w:t>Kelley Swain</w:t>
      </w:r>
    </w:p>
    <w:p w:rsidR="000E0586" w:rsidRPr="009D7320" w:rsidRDefault="000E0586" w:rsidP="000E0586">
      <w:r w:rsidRPr="009D7320">
        <w:t>www.kelleyswain.com</w:t>
      </w:r>
    </w:p>
    <w:p w:rsidR="000E0586" w:rsidRPr="009D7320" w:rsidRDefault="000E0586" w:rsidP="000E0586">
      <w:r w:rsidRPr="009D7320">
        <w:t>kelley.k.swain@gmail.com</w:t>
      </w:r>
    </w:p>
    <w:p w:rsidR="000E0586" w:rsidRPr="009D7320" w:rsidRDefault="000E0586" w:rsidP="000E0586"/>
    <w:p w:rsidR="000E0586" w:rsidRPr="009D7320" w:rsidRDefault="000E0586" w:rsidP="000E0586"/>
    <w:p w:rsidR="000E0586" w:rsidRPr="009D7320" w:rsidRDefault="000E0586" w:rsidP="000E0586">
      <w:pPr>
        <w:rPr>
          <w:sz w:val="28"/>
          <w:szCs w:val="28"/>
        </w:rPr>
      </w:pPr>
      <w:r w:rsidRPr="009D7320">
        <w:rPr>
          <w:sz w:val="28"/>
          <w:szCs w:val="28"/>
        </w:rPr>
        <w:t>Hippocrates:</w:t>
      </w:r>
    </w:p>
    <w:p w:rsidR="000E0586" w:rsidRPr="009D7320" w:rsidRDefault="000E0586" w:rsidP="000E0586">
      <w:pPr>
        <w:pStyle w:val="ListParagraph"/>
        <w:numPr>
          <w:ilvl w:val="0"/>
          <w:numId w:val="27"/>
        </w:numPr>
        <w:rPr>
          <w:sz w:val="28"/>
          <w:szCs w:val="28"/>
        </w:rPr>
      </w:pPr>
      <w:r w:rsidRPr="009D7320">
        <w:rPr>
          <w:sz w:val="28"/>
          <w:szCs w:val="28"/>
        </w:rPr>
        <w:t>‘I swear…to consider dear to me, as my parents, him who taught me this art; to live in common with him and, if necessary, to share my goods with him; to look upon his children as my own brothers, to teach them this art; and that by my teaching, I will impart a knowledge of this art to my own sons, and to my teacher’s sons, and to disciples bound by an indenture and oath according to the medical laws, and no others.’</w:t>
      </w: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r w:rsidRPr="009D7320">
        <w:rPr>
          <w:sz w:val="28"/>
          <w:szCs w:val="28"/>
        </w:rPr>
        <w:t xml:space="preserve">‘Medicine’ comes from Latin </w:t>
      </w:r>
      <w:r w:rsidRPr="009D7320">
        <w:rPr>
          <w:i/>
          <w:iCs/>
          <w:sz w:val="28"/>
          <w:szCs w:val="28"/>
        </w:rPr>
        <w:t xml:space="preserve">ars medicina: </w:t>
      </w:r>
      <w:r w:rsidRPr="009D7320">
        <w:rPr>
          <w:sz w:val="28"/>
          <w:szCs w:val="28"/>
        </w:rPr>
        <w:t>‘the art of healing’.</w:t>
      </w:r>
      <w:r w:rsidRPr="009D7320">
        <w:br w:type="page"/>
      </w:r>
    </w:p>
    <w:p w:rsidR="000E0586" w:rsidRPr="009D7320" w:rsidRDefault="000E0586" w:rsidP="000E0586">
      <w:pPr>
        <w:pStyle w:val="Heading2"/>
        <w:rPr>
          <w:color w:val="auto"/>
        </w:rPr>
      </w:pPr>
      <w:r w:rsidRPr="009D7320">
        <w:rPr>
          <w:color w:val="auto"/>
        </w:rPr>
        <w:t>‘Unlimited’ Festival at the Southbank Centre, 2012 (Photos, SBC)</w:t>
      </w:r>
    </w:p>
    <w:p w:rsidR="000E0586" w:rsidRPr="009D7320" w:rsidRDefault="000E0586" w:rsidP="000E0586"/>
    <w:p w:rsidR="000E0586" w:rsidRPr="009D7320" w:rsidRDefault="000E0586" w:rsidP="000E0586">
      <w:r w:rsidRPr="009D7320">
        <w:rPr>
          <w:noProof/>
          <w:lang w:val="en-GB" w:eastAsia="en-GB"/>
        </w:rPr>
        <w:drawing>
          <wp:inline distT="0" distB="0" distL="0" distR="0" wp14:anchorId="452B88F4" wp14:editId="3231DD6C">
            <wp:extent cx="5270500" cy="2509588"/>
            <wp:effectExtent l="203200" t="203200" r="215900" b="208280"/>
            <wp:docPr id="9" name="Content Placeholder 3" descr="Parallel-LInes-0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allel-LInes-008.jpg"/>
                    <pic:cNvPicPr>
                      <a:picLocks noGrp="1" noChangeAspect="1"/>
                    </pic:cNvPicPr>
                  </pic:nvPicPr>
                  <pic:blipFill>
                    <a:blip r:embed="rId34" cstate="print">
                      <a:extLst>
                        <a:ext uri="{28A0092B-C50C-407E-A947-70E740481C1C}">
                          <a14:useLocalDpi xmlns:a14="http://schemas.microsoft.com/office/drawing/2010/main" val="0"/>
                        </a:ext>
                      </a:extLst>
                    </a:blip>
                    <a:srcRect t="10317" b="10317"/>
                    <a:stretch>
                      <a:fillRect/>
                    </a:stretch>
                  </pic:blipFill>
                  <pic:spPr>
                    <a:xfrm>
                      <a:off x="0" y="0"/>
                      <a:ext cx="5270500" cy="25095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E0586" w:rsidRPr="009D7320" w:rsidRDefault="000E0586" w:rsidP="000E0586">
      <w:r w:rsidRPr="009D7320">
        <w:t>Above: ‘Parallel Lines’ performance.</w:t>
      </w:r>
    </w:p>
    <w:p w:rsidR="000E0586" w:rsidRPr="009D7320" w:rsidRDefault="000E0586" w:rsidP="000E0586">
      <w:r w:rsidRPr="009D7320">
        <w:rPr>
          <w:noProof/>
          <w:lang w:val="en-GB" w:eastAsia="en-GB"/>
        </w:rPr>
        <w:drawing>
          <wp:inline distT="0" distB="0" distL="0" distR="0" wp14:anchorId="3E083779" wp14:editId="5C45027C">
            <wp:extent cx="5270500" cy="2509588"/>
            <wp:effectExtent l="203200" t="203200" r="215900" b="208280"/>
            <wp:docPr id="10" name="Content Placeholder 3" descr="unlimited-seri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unlimited-series.jpg"/>
                    <pic:cNvPicPr>
                      <a:picLocks noGrp="1" noChangeAspect="1"/>
                    </pic:cNvPicPr>
                  </pic:nvPicPr>
                  <pic:blipFill>
                    <a:blip r:embed="rId35" cstate="print">
                      <a:extLst>
                        <a:ext uri="{28A0092B-C50C-407E-A947-70E740481C1C}">
                          <a14:useLocalDpi xmlns:a14="http://schemas.microsoft.com/office/drawing/2010/main" val="0"/>
                        </a:ext>
                      </a:extLst>
                    </a:blip>
                    <a:srcRect t="18327" b="18327"/>
                    <a:stretch>
                      <a:fillRect/>
                    </a:stretch>
                  </pic:blipFill>
                  <pic:spPr>
                    <a:xfrm>
                      <a:off x="0" y="0"/>
                      <a:ext cx="5270500" cy="25095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E0586" w:rsidRPr="009D7320" w:rsidRDefault="000E0586" w:rsidP="000E0586">
      <w:r w:rsidRPr="009D7320">
        <w:t>Above: Sue Austin in her self-propelled underwater wheelchair.</w:t>
      </w:r>
    </w:p>
    <w:p w:rsidR="000E0586" w:rsidRPr="009D7320" w:rsidRDefault="000E0586" w:rsidP="000E0586">
      <w:r w:rsidRPr="009D7320">
        <w:br w:type="page"/>
      </w:r>
    </w:p>
    <w:p w:rsidR="000E0586" w:rsidRPr="009D7320" w:rsidRDefault="000E0586" w:rsidP="000E0586">
      <w:pPr>
        <w:pStyle w:val="Heading2"/>
        <w:rPr>
          <w:color w:val="auto"/>
        </w:rPr>
      </w:pPr>
      <w:r w:rsidRPr="009D7320">
        <w:rPr>
          <w:color w:val="auto"/>
        </w:rPr>
        <w:t>From Berlin Conference on Medical Objects (Photo, K.S.)</w:t>
      </w:r>
    </w:p>
    <w:p w:rsidR="000E0586" w:rsidRPr="009D7320" w:rsidRDefault="000E0586" w:rsidP="000E0586">
      <w:r w:rsidRPr="009D7320">
        <w:rPr>
          <w:noProof/>
          <w:lang w:val="en-GB" w:eastAsia="en-GB"/>
        </w:rPr>
        <w:drawing>
          <wp:inline distT="0" distB="0" distL="0" distR="0" wp14:anchorId="5E7D2D9B" wp14:editId="034B75FE">
            <wp:extent cx="4914900" cy="3185583"/>
            <wp:effectExtent l="254000" t="304800" r="266700" b="294640"/>
            <wp:docPr id="11" name="Content Placeholder 4" descr="IMG_258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2582.jpg"/>
                    <pic:cNvPicPr>
                      <a:picLocks noGrp="1" noChangeAspect="1"/>
                    </pic:cNvPicPr>
                  </pic:nvPicPr>
                  <pic:blipFill rotWithShape="1">
                    <a:blip r:embed="rId36" cstate="print">
                      <a:extLst>
                        <a:ext uri="{28A0092B-C50C-407E-A947-70E740481C1C}">
                          <a14:useLocalDpi xmlns:a14="http://schemas.microsoft.com/office/drawing/2010/main" val="0"/>
                        </a:ext>
                      </a:extLst>
                    </a:blip>
                    <a:srcRect t="3836" b="9745"/>
                    <a:stretch/>
                  </pic:blipFill>
                  <pic:spPr>
                    <a:xfrm>
                      <a:off x="0" y="0"/>
                      <a:ext cx="4915475" cy="3185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E0586" w:rsidRPr="009D7320" w:rsidRDefault="000E0586" w:rsidP="000E0586">
      <w:r w:rsidRPr="009D7320">
        <w:br w:type="page"/>
      </w:r>
    </w:p>
    <w:p w:rsidR="000E0586" w:rsidRPr="009D7320" w:rsidRDefault="000E0586" w:rsidP="000E0586">
      <w:pPr>
        <w:pStyle w:val="Title"/>
        <w:rPr>
          <w:lang w:val="en-US"/>
        </w:rPr>
      </w:pPr>
      <w:r w:rsidRPr="009D7320">
        <w:rPr>
          <w:lang w:val="en-US"/>
        </w:rPr>
        <w:t xml:space="preserve">AnanaGram (adj): </w:t>
      </w:r>
    </w:p>
    <w:p w:rsidR="000E0586" w:rsidRPr="009D7320" w:rsidRDefault="000E0586" w:rsidP="000E0586">
      <w:pPr>
        <w:pStyle w:val="Title"/>
      </w:pPr>
      <w:r w:rsidRPr="009D7320">
        <w:rPr>
          <w:lang w:val="en-US"/>
        </w:rPr>
        <w:t>Original, Constantly Evolving</w:t>
      </w:r>
    </w:p>
    <w:p w:rsidR="000E0586" w:rsidRPr="009D7320" w:rsidRDefault="000E0586" w:rsidP="000E0586">
      <w:pPr>
        <w:numPr>
          <w:ilvl w:val="0"/>
          <w:numId w:val="28"/>
        </w:numPr>
        <w:rPr>
          <w:sz w:val="28"/>
          <w:szCs w:val="28"/>
        </w:rPr>
      </w:pPr>
      <w:r w:rsidRPr="009D7320">
        <w:rPr>
          <w:sz w:val="28"/>
          <w:szCs w:val="28"/>
        </w:rPr>
        <w:t>Matt Rinaldi: performance</w:t>
      </w:r>
    </w:p>
    <w:p w:rsidR="000E0586" w:rsidRPr="009D7320" w:rsidRDefault="000E0586" w:rsidP="000E0586">
      <w:pPr>
        <w:numPr>
          <w:ilvl w:val="0"/>
          <w:numId w:val="28"/>
        </w:numPr>
        <w:rPr>
          <w:sz w:val="28"/>
          <w:szCs w:val="28"/>
        </w:rPr>
      </w:pPr>
      <w:r w:rsidRPr="009D7320">
        <w:rPr>
          <w:sz w:val="28"/>
          <w:szCs w:val="28"/>
        </w:rPr>
        <w:t>Q&amp;A with Matt</w:t>
      </w:r>
    </w:p>
    <w:p w:rsidR="000E0586" w:rsidRPr="009D7320" w:rsidRDefault="000E0586" w:rsidP="000E0586">
      <w:pPr>
        <w:ind w:left="720"/>
        <w:rPr>
          <w:sz w:val="28"/>
          <w:szCs w:val="28"/>
        </w:rPr>
      </w:pPr>
    </w:p>
    <w:p w:rsidR="000E0586" w:rsidRPr="009D7320" w:rsidRDefault="000E0586" w:rsidP="000E0586">
      <w:pPr>
        <w:rPr>
          <w:sz w:val="28"/>
          <w:szCs w:val="28"/>
        </w:rPr>
      </w:pPr>
      <w:r w:rsidRPr="009D7320">
        <w:rPr>
          <w:sz w:val="28"/>
          <w:szCs w:val="28"/>
        </w:rPr>
        <w:t>Twitter: @thenanagram</w:t>
      </w:r>
    </w:p>
    <w:p w:rsidR="000E0586" w:rsidRPr="009D7320" w:rsidRDefault="000E0586" w:rsidP="000E0586">
      <w:pPr>
        <w:rPr>
          <w:sz w:val="28"/>
          <w:szCs w:val="28"/>
        </w:rPr>
      </w:pPr>
      <w:r w:rsidRPr="009D7320">
        <w:rPr>
          <w:sz w:val="28"/>
          <w:szCs w:val="28"/>
        </w:rPr>
        <w:t>Facebook: ananagram</w:t>
      </w:r>
    </w:p>
    <w:p w:rsidR="000E0586" w:rsidRPr="009D7320" w:rsidRDefault="000E0586" w:rsidP="000E0586">
      <w:pPr>
        <w:rPr>
          <w:sz w:val="28"/>
          <w:szCs w:val="28"/>
        </w:rPr>
      </w:pPr>
      <w:r w:rsidRPr="009D7320">
        <w:rPr>
          <w:sz w:val="28"/>
          <w:szCs w:val="28"/>
        </w:rPr>
        <w:t>ananagram.blogspot.com</w:t>
      </w:r>
    </w:p>
    <w:p w:rsidR="000E0586" w:rsidRPr="009D7320" w:rsidRDefault="000E0586" w:rsidP="000E0586">
      <w:pPr>
        <w:rPr>
          <w:sz w:val="28"/>
          <w:szCs w:val="28"/>
        </w:rPr>
      </w:pPr>
      <w:r w:rsidRPr="009D7320">
        <w:rPr>
          <w:sz w:val="28"/>
          <w:szCs w:val="28"/>
        </w:rPr>
        <w:br w:type="page"/>
      </w:r>
    </w:p>
    <w:p w:rsidR="000E0586" w:rsidRPr="009D7320" w:rsidRDefault="000E0586" w:rsidP="000E0586">
      <w:pPr>
        <w:rPr>
          <w:sz w:val="28"/>
          <w:szCs w:val="28"/>
        </w:rPr>
      </w:pPr>
      <w:r w:rsidRPr="009D7320">
        <w:rPr>
          <w:sz w:val="28"/>
          <w:szCs w:val="28"/>
        </w:rPr>
        <w:t>ILLNESS AS METAPHOR:</w:t>
      </w:r>
    </w:p>
    <w:p w:rsidR="000E0586" w:rsidRPr="009D7320" w:rsidRDefault="000E0586" w:rsidP="000E0586">
      <w:pPr>
        <w:pStyle w:val="Heading2"/>
        <w:rPr>
          <w:color w:val="auto"/>
        </w:rPr>
      </w:pPr>
      <w:r w:rsidRPr="009D7320">
        <w:rPr>
          <w:color w:val="auto"/>
        </w:rPr>
        <w:t>What, according to Sontag, did TB come to represent in the 19</w:t>
      </w:r>
      <w:r w:rsidRPr="009D7320">
        <w:rPr>
          <w:color w:val="auto"/>
          <w:vertAlign w:val="superscript"/>
        </w:rPr>
        <w:t>th</w:t>
      </w:r>
      <w:r w:rsidRPr="009D7320">
        <w:rPr>
          <w:color w:val="auto"/>
        </w:rPr>
        <w:t xml:space="preserve"> century?</w:t>
      </w:r>
    </w:p>
    <w:p w:rsidR="000E0586" w:rsidRPr="009D7320" w:rsidRDefault="000E0586" w:rsidP="000E0586">
      <w:pPr>
        <w:rPr>
          <w:sz w:val="28"/>
          <w:szCs w:val="28"/>
        </w:rPr>
      </w:pPr>
    </w:p>
    <w:p w:rsidR="000E0586" w:rsidRPr="009D7320" w:rsidRDefault="000E0586" w:rsidP="000E0586">
      <w:pPr>
        <w:rPr>
          <w:sz w:val="28"/>
          <w:szCs w:val="28"/>
        </w:rPr>
      </w:pPr>
      <w:r w:rsidRPr="009D7320">
        <w:rPr>
          <w:sz w:val="28"/>
          <w:szCs w:val="28"/>
        </w:rPr>
        <w:t>Come up with a list from the reading:</w:t>
      </w: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p>
    <w:p w:rsidR="000E0586" w:rsidRPr="009D7320" w:rsidRDefault="000E0586" w:rsidP="000E0586">
      <w:pPr>
        <w:rPr>
          <w:sz w:val="28"/>
          <w:szCs w:val="28"/>
        </w:rPr>
      </w:pPr>
      <w:r w:rsidRPr="009D7320">
        <w:rPr>
          <w:sz w:val="28"/>
          <w:szCs w:val="28"/>
        </w:rPr>
        <w:t>‘With the new mobility (social and geographical) made possible in the eighteenth century, worth and station are not given; they must be asserted. They were asserted through new notions about clothes (‘fashion’) and new attitudes toward illness. Both clothes (the outer garment of the body) and illness (a kind of interior décor of the body) became tropes for new attitudes toward the self.’</w:t>
      </w:r>
    </w:p>
    <w:p w:rsidR="000E0586" w:rsidRPr="009D7320" w:rsidRDefault="000E0586" w:rsidP="000E0586">
      <w:pPr>
        <w:rPr>
          <w:sz w:val="28"/>
          <w:szCs w:val="28"/>
        </w:rPr>
      </w:pPr>
    </w:p>
    <w:p w:rsidR="000E0586" w:rsidRPr="009D7320" w:rsidRDefault="000E0586" w:rsidP="000E0586">
      <w:pPr>
        <w:pStyle w:val="Heading2"/>
        <w:rPr>
          <w:color w:val="auto"/>
        </w:rPr>
      </w:pPr>
      <w:r w:rsidRPr="009D7320">
        <w:rPr>
          <w:color w:val="auto"/>
        </w:rPr>
        <w:t>Metaphor examples:</w:t>
      </w:r>
    </w:p>
    <w:p w:rsidR="000E0586" w:rsidRPr="009D7320" w:rsidRDefault="000E0586" w:rsidP="000E0586"/>
    <w:p w:rsidR="000E0586" w:rsidRPr="009D7320" w:rsidRDefault="000E0586" w:rsidP="000E0586">
      <w:pPr>
        <w:pStyle w:val="ListParagraph"/>
        <w:numPr>
          <w:ilvl w:val="0"/>
          <w:numId w:val="29"/>
        </w:numPr>
      </w:pPr>
      <w:r w:rsidRPr="009D7320">
        <w:t>The interior drapery of tuberculosis.</w:t>
      </w:r>
    </w:p>
    <w:p w:rsidR="000E0586" w:rsidRPr="009D7320" w:rsidRDefault="000E0586" w:rsidP="000E0586">
      <w:pPr>
        <w:pStyle w:val="ListParagraph"/>
        <w:numPr>
          <w:ilvl w:val="0"/>
          <w:numId w:val="29"/>
        </w:numPr>
      </w:pPr>
      <w:r w:rsidRPr="009D7320">
        <w:t>Tuberculosis is like a fine cloth draping my lungs.</w:t>
      </w:r>
    </w:p>
    <w:p w:rsidR="000E0586" w:rsidRPr="009D7320" w:rsidRDefault="000E0586" w:rsidP="000E0586">
      <w:pPr>
        <w:pStyle w:val="ListParagraph"/>
        <w:numPr>
          <w:ilvl w:val="0"/>
          <w:numId w:val="29"/>
        </w:numPr>
      </w:pPr>
      <w:r w:rsidRPr="009D7320">
        <w:t>I am as ghostly as one with TB.</w:t>
      </w:r>
    </w:p>
    <w:p w:rsidR="000E0586" w:rsidRPr="009D7320" w:rsidRDefault="000E0586" w:rsidP="000E0586">
      <w:pPr>
        <w:pStyle w:val="ListParagraph"/>
        <w:numPr>
          <w:ilvl w:val="0"/>
          <w:numId w:val="29"/>
        </w:numPr>
      </w:pPr>
      <w:r w:rsidRPr="009D7320">
        <w:t>I am draped with the spectre of tuberculosis.</w:t>
      </w:r>
    </w:p>
    <w:p w:rsidR="000E0586" w:rsidRPr="009D7320" w:rsidRDefault="000E0586" w:rsidP="000E0586">
      <w:r w:rsidRPr="009D7320">
        <w:br w:type="page"/>
      </w:r>
    </w:p>
    <w:p w:rsidR="000E0586" w:rsidRPr="009D7320" w:rsidRDefault="000E0586" w:rsidP="000E0586">
      <w:pPr>
        <w:pStyle w:val="Heading2"/>
        <w:rPr>
          <w:color w:val="auto"/>
        </w:rPr>
      </w:pPr>
      <w:r w:rsidRPr="009D7320">
        <w:rPr>
          <w:color w:val="auto"/>
        </w:rPr>
        <w:t>‘The Perfect Code’</w:t>
      </w:r>
    </w:p>
    <w:p w:rsidR="000E0586" w:rsidRPr="009D7320" w:rsidRDefault="000E0586" w:rsidP="000E0586"/>
    <w:p w:rsidR="000E0586" w:rsidRPr="009D7320" w:rsidRDefault="000E0586" w:rsidP="000E0586">
      <w:r w:rsidRPr="009D7320">
        <w:t>There is a great deal of mess in hospital medicine, literal and figurative, and the code bunches it all into a dense mass that on some days seems to represent everything wrong with the world. (p. 139)</w:t>
      </w:r>
    </w:p>
    <w:p w:rsidR="000E0586" w:rsidRPr="009D7320" w:rsidRDefault="000E0586" w:rsidP="000E0586"/>
    <w:p w:rsidR="000E0586" w:rsidRPr="009D7320" w:rsidRDefault="000E0586" w:rsidP="000E0586">
      <w:r w:rsidRPr="009D7320">
        <w:t>‘He needs a halo.’</w:t>
      </w:r>
    </w:p>
    <w:p w:rsidR="000E0586" w:rsidRPr="009D7320" w:rsidRDefault="000E0586" w:rsidP="000E0586">
      <w:r w:rsidRPr="009D7320">
        <w:t>A halo is one of those excruciating-looking devices you may have seen somebody wearting: a ring of shiny metal that encircles the head (hence the name), supported by a cage that rests on a harness braced on the shoulders. Four large bolts run through the halo and into the patient’s skull, gripping the head rigidly in place like a Christmas tree in its stand. A little crust of blood where the bolts penetrate the skin completes the picture. They look terrible, but patients tell me that after the first day or so they don’t really hurt. Getting one put on, however: that hurts. (p. 144-5)</w:t>
      </w:r>
    </w:p>
    <w:p w:rsidR="000E0586" w:rsidRPr="009D7320" w:rsidRDefault="000E0586" w:rsidP="000E0586"/>
    <w:p w:rsidR="000E0586" w:rsidRPr="009D7320" w:rsidRDefault="000E0586" w:rsidP="000E0586">
      <w:r w:rsidRPr="009D7320">
        <w:t>I…saw through the open door of Mr Mongay’s room a strange tableau: two tall men in green scrubs wielding socket wrenches around the patient’s head, a tangle of chrome, and the patient’s hands quivering in the air, fingers spread as if calling on the seas to part. Sometime later I looked up again and the green scrubs were gone. Mr Mongay lay propped up in his bed, his head in a halo. From the side, his nose was a hawk’s beak, the rest of his face sunk in drugged sleep, but his mouth still snarled as if it remembered recent pain. He looked like a strange, sad bird in a very small cage. (p. 146)</w:t>
      </w:r>
    </w:p>
    <w:p w:rsidR="000E0586" w:rsidRPr="009D7320" w:rsidRDefault="000E0586" w:rsidP="000E0586"/>
    <w:p w:rsidR="000E0586" w:rsidRPr="009D7320" w:rsidRDefault="000E0586" w:rsidP="000E0586">
      <w:r w:rsidRPr="009D7320">
        <w:t>This, I thought as we left the room (the lines on the monitor dancing their steady dance, the ventilator measuring breath and time to its own slower rhythm), this is what a code should be. A clean thing. A beautiful thing. The patient hadn’t died. (p. 149)</w:t>
      </w:r>
    </w:p>
    <w:p w:rsidR="000E0586" w:rsidRPr="009D7320" w:rsidRDefault="000E0586" w:rsidP="000E0586"/>
    <w:p w:rsidR="000E0586" w:rsidRPr="009D7320" w:rsidRDefault="000E0586" w:rsidP="000E0586">
      <w:r w:rsidRPr="009D7320">
        <w:t>He had become something unreal to me – something beautiful, like a work of art, but unreal. Amid all the mess and squalor of the hospital, with its blind random unravelling of lives, in their patient dignity and kindness he and his family stood apart. In his case, for a little while at least, everything had gone exactly as it should have. The perfect code. (p.151)</w:t>
      </w:r>
    </w:p>
    <w:p w:rsidR="000E0586" w:rsidRPr="009D7320" w:rsidRDefault="000E0586" w:rsidP="000E0586">
      <w:r w:rsidRPr="009D7320">
        <w:br w:type="page"/>
      </w:r>
    </w:p>
    <w:p w:rsidR="000E0586" w:rsidRPr="009D7320" w:rsidRDefault="000E0586" w:rsidP="000E0586">
      <w:pPr>
        <w:pStyle w:val="Heading2"/>
        <w:rPr>
          <w:color w:val="auto"/>
        </w:rPr>
      </w:pPr>
      <w:r w:rsidRPr="009D7320">
        <w:rPr>
          <w:color w:val="auto"/>
        </w:rPr>
        <w:t>Metaphor-Making</w:t>
      </w:r>
    </w:p>
    <w:p w:rsidR="000E0586" w:rsidRPr="009D7320" w:rsidRDefault="000E0586" w:rsidP="000E0586"/>
    <w:p w:rsidR="000E0586" w:rsidRPr="009D7320" w:rsidRDefault="000E0586" w:rsidP="000E0586">
      <w:pPr>
        <w:rPr>
          <w:sz w:val="28"/>
          <w:szCs w:val="28"/>
        </w:rPr>
      </w:pPr>
      <w:r w:rsidRPr="009D7320">
        <w:rPr>
          <w:sz w:val="28"/>
          <w:szCs w:val="28"/>
        </w:rPr>
        <w:t xml:space="preserve">‘Metaphor usually involves talking about one thing in terms of something else. Good metaphors often surprise us, making connections we don’t expect. We recognise in them a rich and profound truth – one we can’t always put our finger on; can’t always put into straightforward explanation. A metaphor’s deepest effects might occur because we can’t explain it in a straightforward way.’ </w:t>
      </w:r>
    </w:p>
    <w:p w:rsidR="000E0586" w:rsidRPr="009D7320" w:rsidRDefault="000E0586" w:rsidP="000E0586">
      <w:r w:rsidRPr="009D7320">
        <w:br w:type="page"/>
      </w:r>
    </w:p>
    <w:p w:rsidR="000E0586" w:rsidRPr="009D7320" w:rsidRDefault="000E0586" w:rsidP="000E0586">
      <w:pPr>
        <w:rPr>
          <w:sz w:val="28"/>
          <w:szCs w:val="28"/>
        </w:rPr>
      </w:pPr>
      <w:r w:rsidRPr="009D7320">
        <w:rPr>
          <w:noProof/>
          <w:lang w:val="en-GB" w:eastAsia="en-GB"/>
        </w:rPr>
        <w:drawing>
          <wp:anchor distT="0" distB="0" distL="114300" distR="114300" simplePos="0" relativeHeight="251662848" behindDoc="0" locked="0" layoutInCell="1" allowOverlap="1" wp14:anchorId="00FA4D38" wp14:editId="1D711CD0">
            <wp:simplePos x="0" y="0"/>
            <wp:positionH relativeFrom="margin">
              <wp:align>center</wp:align>
            </wp:positionH>
            <wp:positionV relativeFrom="margin">
              <wp:align>bottom</wp:align>
            </wp:positionV>
            <wp:extent cx="6286500" cy="8382000"/>
            <wp:effectExtent l="0" t="0" r="1270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6500" cy="8382000"/>
                    </a:xfrm>
                    <a:prstGeom prst="rect">
                      <a:avLst/>
                    </a:prstGeom>
                  </pic:spPr>
                </pic:pic>
              </a:graphicData>
            </a:graphic>
          </wp:anchor>
        </w:drawing>
      </w:r>
      <w:r w:rsidRPr="009D7320">
        <w:rPr>
          <w:sz w:val="28"/>
          <w:szCs w:val="28"/>
        </w:rPr>
        <w:t>From ‘Leave them laughing,’ by Carla Zilbersmith</w:t>
      </w:r>
    </w:p>
    <w:p w:rsidR="000E0586" w:rsidRPr="009D7320" w:rsidRDefault="000E0586" w:rsidP="000E0586">
      <w:pPr>
        <w:rPr>
          <w:sz w:val="28"/>
          <w:szCs w:val="28"/>
        </w:rPr>
      </w:pPr>
      <w:r w:rsidRPr="009D7320">
        <w:rPr>
          <w:i/>
          <w:sz w:val="28"/>
          <w:szCs w:val="28"/>
        </w:rPr>
        <w:t>Writing on Death: The Natural Death Handbook</w:t>
      </w:r>
      <w:r w:rsidRPr="009D7320">
        <w:rPr>
          <w:sz w:val="28"/>
          <w:szCs w:val="28"/>
        </w:rPr>
        <w:t>, 5</w:t>
      </w:r>
      <w:r w:rsidRPr="009D7320">
        <w:rPr>
          <w:sz w:val="28"/>
          <w:szCs w:val="28"/>
          <w:vertAlign w:val="superscript"/>
        </w:rPr>
        <w:t>th</w:t>
      </w:r>
      <w:r w:rsidRPr="009D7320">
        <w:rPr>
          <w:sz w:val="28"/>
          <w:szCs w:val="28"/>
        </w:rPr>
        <w:t xml:space="preserve"> Ed.</w:t>
      </w:r>
    </w:p>
    <w:p w:rsidR="000E0586" w:rsidRPr="009D7320" w:rsidRDefault="000E0586" w:rsidP="000E0586">
      <w:pPr>
        <w:pStyle w:val="Heading2"/>
        <w:rPr>
          <w:color w:val="auto"/>
        </w:rPr>
      </w:pPr>
      <w:r w:rsidRPr="009D7320">
        <w:br w:type="page"/>
      </w:r>
      <w:r w:rsidRPr="009D7320">
        <w:rPr>
          <w:sz w:val="28"/>
          <w:szCs w:val="28"/>
        </w:rPr>
        <w:t xml:space="preserve"> </w:t>
      </w:r>
      <w:r w:rsidRPr="009D7320">
        <w:rPr>
          <w:color w:val="auto"/>
        </w:rPr>
        <w:t>Changing the Metaphor</w:t>
      </w:r>
    </w:p>
    <w:p w:rsidR="000E0586" w:rsidRPr="009D7320" w:rsidRDefault="000E0586" w:rsidP="000E0586"/>
    <w:p w:rsidR="000E0586" w:rsidRPr="009D7320" w:rsidRDefault="000E0586" w:rsidP="000E0586">
      <w:pPr>
        <w:numPr>
          <w:ilvl w:val="0"/>
          <w:numId w:val="30"/>
        </w:numPr>
      </w:pPr>
      <w:r w:rsidRPr="009D7320">
        <w:t>Gather into groups</w:t>
      </w:r>
    </w:p>
    <w:p w:rsidR="000E0586" w:rsidRPr="009D7320" w:rsidRDefault="000E0586" w:rsidP="000E0586">
      <w:pPr>
        <w:numPr>
          <w:ilvl w:val="0"/>
          <w:numId w:val="30"/>
        </w:numPr>
      </w:pPr>
      <w:r w:rsidRPr="009D7320">
        <w:t>Make a list of medically-related objects/things that you have encountered in your studies, ie: stethoscope, gurney, stitches, blood pressure – feel free to use your expertise and go beyond the obvious!</w:t>
      </w:r>
    </w:p>
    <w:p w:rsidR="000E0586" w:rsidRPr="009D7320" w:rsidRDefault="000E0586" w:rsidP="000E0586">
      <w:pPr>
        <w:numPr>
          <w:ilvl w:val="0"/>
          <w:numId w:val="30"/>
        </w:numPr>
      </w:pPr>
      <w:r w:rsidRPr="009D7320">
        <w:t>Write in the form: ‘A _____ of _____’</w:t>
      </w:r>
    </w:p>
    <w:p w:rsidR="000E0586" w:rsidRPr="009D7320" w:rsidRDefault="000E0586" w:rsidP="000E0586">
      <w:pPr>
        <w:numPr>
          <w:ilvl w:val="0"/>
          <w:numId w:val="30"/>
        </w:numPr>
      </w:pPr>
      <w:r w:rsidRPr="009D7320">
        <w:t>‘A gurney of steel’ ‘Stitches of thread’</w:t>
      </w:r>
    </w:p>
    <w:p w:rsidR="000E0586" w:rsidRPr="009D7320" w:rsidRDefault="000E0586" w:rsidP="000E0586">
      <w:pPr>
        <w:numPr>
          <w:ilvl w:val="0"/>
          <w:numId w:val="30"/>
        </w:numPr>
      </w:pPr>
      <w:r w:rsidRPr="009D7320">
        <w:t>Focus on at least five examples</w:t>
      </w:r>
    </w:p>
    <w:p w:rsidR="000E0586" w:rsidRPr="009D7320" w:rsidRDefault="000E0586" w:rsidP="000E0586">
      <w:pPr>
        <w:numPr>
          <w:ilvl w:val="0"/>
          <w:numId w:val="30"/>
        </w:numPr>
      </w:pPr>
      <w:r w:rsidRPr="009D7320">
        <w:t xml:space="preserve">Then take the second word (‘steel or ‘thread’) and replace with an emotion. </w:t>
      </w:r>
    </w:p>
    <w:p w:rsidR="000E0586" w:rsidRPr="009D7320" w:rsidRDefault="000E0586" w:rsidP="000E0586">
      <w:pPr>
        <w:numPr>
          <w:ilvl w:val="0"/>
          <w:numId w:val="30"/>
        </w:numPr>
      </w:pPr>
      <w:r w:rsidRPr="009D7320">
        <w:t xml:space="preserve">‘A gurney of sorrow’ ‘Stitches of laughter’ – some will make more sense than others. Be creative and change words if you think they’ll fit better. ‘Stitches of laughter’ is cliché; what about ‘stitches of anger’? </w:t>
      </w:r>
    </w:p>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p w:rsidR="000E0586" w:rsidRPr="009D7320" w:rsidRDefault="000E0586" w:rsidP="000E0586">
      <w:r w:rsidRPr="009D7320">
        <w:t>NEXT TIME: TUESDAY 9 OCTOBER</w:t>
      </w:r>
    </w:p>
    <w:p w:rsidR="000E0586" w:rsidRPr="009D7320" w:rsidRDefault="000E0586" w:rsidP="000E0586">
      <w:pPr>
        <w:numPr>
          <w:ilvl w:val="0"/>
          <w:numId w:val="31"/>
        </w:numPr>
      </w:pPr>
      <w:r w:rsidRPr="009D7320">
        <w:t>Meet outside John Snow Pub, Soho at 2:55 for 3pm sharp!</w:t>
      </w:r>
    </w:p>
    <w:p w:rsidR="000E0586" w:rsidRPr="009D7320" w:rsidRDefault="000E0586" w:rsidP="000E0586">
      <w:pPr>
        <w:numPr>
          <w:ilvl w:val="0"/>
          <w:numId w:val="31"/>
        </w:numPr>
      </w:pPr>
      <w:r w:rsidRPr="009D7320">
        <w:t>Be prepared for a guided walk lasting about 2 hours: wear comfortable shoes, warm clothes, bring a brolly, etc.</w:t>
      </w:r>
    </w:p>
    <w:p w:rsidR="000E0586" w:rsidRPr="009D7320" w:rsidRDefault="000E0586" w:rsidP="000E0586"/>
    <w:p w:rsidR="000E0586" w:rsidRPr="009D7320" w:rsidRDefault="000E0586"/>
    <w:p w:rsidR="002E43DD" w:rsidRPr="009D7320" w:rsidRDefault="002E43DD" w:rsidP="002E43DD"/>
    <w:p w:rsidR="002E43DD" w:rsidRPr="009D7320" w:rsidRDefault="002E43DD" w:rsidP="002E43DD"/>
    <w:p w:rsidR="002E43DD" w:rsidRPr="009D7320" w:rsidRDefault="002E43DD" w:rsidP="002E43DD">
      <w:pPr>
        <w:pStyle w:val="Heading1"/>
      </w:pPr>
      <w:r w:rsidRPr="009D7320">
        <w:t xml:space="preserve">Appendix </w:t>
      </w:r>
    </w:p>
    <w:p w:rsidR="002E43DD" w:rsidRPr="009D7320" w:rsidRDefault="002E43DD" w:rsidP="002E43DD"/>
    <w:p w:rsidR="002E43DD" w:rsidRPr="009D7320" w:rsidRDefault="002E43DD" w:rsidP="002E43DD">
      <w:r w:rsidRPr="009D7320">
        <w:t>Group Allocations for ICA</w:t>
      </w:r>
    </w:p>
    <w:p w:rsidR="002E43DD" w:rsidRPr="009D7320" w:rsidRDefault="002E43DD" w:rsidP="002E43DD"/>
    <w:tbl>
      <w:tblPr>
        <w:tblW w:w="8263" w:type="dxa"/>
        <w:tblInd w:w="93" w:type="dxa"/>
        <w:tblLook w:val="04A0" w:firstRow="1" w:lastRow="0" w:firstColumn="1" w:lastColumn="0" w:noHBand="0" w:noVBand="1"/>
      </w:tblPr>
      <w:tblGrid>
        <w:gridCol w:w="1373"/>
        <w:gridCol w:w="1373"/>
        <w:gridCol w:w="1840"/>
        <w:gridCol w:w="3677"/>
      </w:tblGrid>
      <w:tr w:rsidR="002E43DD" w:rsidRPr="009D7320" w:rsidTr="00404BAE">
        <w:trPr>
          <w:trHeight w:val="20"/>
        </w:trPr>
        <w:tc>
          <w:tcPr>
            <w:tcW w:w="1373" w:type="dxa"/>
            <w:tcBorders>
              <w:top w:val="single" w:sz="4" w:space="0" w:color="auto"/>
              <w:left w:val="single" w:sz="4" w:space="0" w:color="auto"/>
              <w:bottom w:val="single" w:sz="4" w:space="0" w:color="auto"/>
              <w:right w:val="single" w:sz="4" w:space="0" w:color="auto"/>
            </w:tcBorders>
          </w:tcPr>
          <w:p w:rsidR="002E43DD" w:rsidRPr="009D7320" w:rsidRDefault="002E43DD" w:rsidP="00404BAE">
            <w:pPr>
              <w:rPr>
                <w:rFonts w:asciiTheme="minorHAnsi" w:eastAsia="Times New Roman" w:hAnsiTheme="minorHAnsi" w:cstheme="minorHAnsi"/>
                <w:b/>
                <w:color w:val="000000"/>
                <w:sz w:val="20"/>
                <w:szCs w:val="20"/>
                <w:lang w:eastAsia="en-GB"/>
              </w:rPr>
            </w:pPr>
            <w:r w:rsidRPr="009D7320">
              <w:rPr>
                <w:rFonts w:asciiTheme="minorHAnsi" w:eastAsia="Times New Roman" w:hAnsiTheme="minorHAnsi" w:cstheme="minorHAnsi"/>
                <w:b/>
                <w:color w:val="000000"/>
                <w:sz w:val="20"/>
                <w:szCs w:val="20"/>
                <w:lang w:eastAsia="en-GB"/>
              </w:rPr>
              <w:t>MDG</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b/>
                <w:color w:val="000000"/>
                <w:sz w:val="20"/>
                <w:szCs w:val="20"/>
                <w:lang w:eastAsia="en-GB"/>
              </w:rPr>
            </w:pPr>
            <w:r w:rsidRPr="009D7320">
              <w:rPr>
                <w:rFonts w:asciiTheme="minorHAnsi" w:eastAsia="Times New Roman" w:hAnsiTheme="minorHAnsi" w:cstheme="minorHAnsi"/>
                <w:b/>
                <w:color w:val="000000"/>
                <w:sz w:val="20"/>
                <w:szCs w:val="20"/>
                <w:lang w:eastAsia="en-GB"/>
              </w:rPr>
              <w:t>Surname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b/>
                <w:color w:val="000000"/>
                <w:sz w:val="20"/>
                <w:szCs w:val="20"/>
                <w:lang w:eastAsia="en-GB"/>
              </w:rPr>
            </w:pPr>
            <w:r w:rsidRPr="009D7320">
              <w:rPr>
                <w:rFonts w:asciiTheme="minorHAnsi" w:eastAsia="Times New Roman" w:hAnsiTheme="minorHAnsi" w:cstheme="minorHAnsi"/>
                <w:b/>
                <w:color w:val="000000"/>
                <w:sz w:val="20"/>
                <w:szCs w:val="20"/>
                <w:lang w:eastAsia="en-GB"/>
              </w:rPr>
              <w:t>First name</w:t>
            </w:r>
          </w:p>
        </w:tc>
        <w:tc>
          <w:tcPr>
            <w:tcW w:w="3677" w:type="dxa"/>
            <w:tcBorders>
              <w:top w:val="single" w:sz="4" w:space="0" w:color="auto"/>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b/>
                <w:color w:val="000000"/>
                <w:sz w:val="20"/>
                <w:szCs w:val="20"/>
                <w:lang w:eastAsia="en-GB"/>
              </w:rPr>
            </w:pPr>
            <w:r w:rsidRPr="009D7320">
              <w:rPr>
                <w:rFonts w:asciiTheme="minorHAnsi" w:eastAsia="Times New Roman" w:hAnsiTheme="minorHAnsi" w:cstheme="minorHAnsi"/>
                <w:b/>
                <w:color w:val="000000"/>
                <w:sz w:val="20"/>
                <w:szCs w:val="20"/>
                <w:lang w:eastAsia="en-GB"/>
              </w:rPr>
              <w:t>Email</w:t>
            </w:r>
          </w:p>
        </w:tc>
      </w:tr>
      <w:tr w:rsidR="002E43DD" w:rsidRPr="009D7320" w:rsidTr="00404BAE">
        <w:trPr>
          <w:trHeight w:val="20"/>
        </w:trPr>
        <w:tc>
          <w:tcPr>
            <w:tcW w:w="1373" w:type="dxa"/>
            <w:vMerge w:val="restart"/>
            <w:tcBorders>
              <w:top w:val="nil"/>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1</w:t>
            </w: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Boussabaine</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Emaan</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emaan.boussabaine09@imperial.ac.uk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Chong</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Amelia</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lang w:eastAsia="en-GB"/>
              </w:rPr>
              <w:t>amelia.chong10@imperial.ac.uk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de Rosa</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Eleanor Jane</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eleanor.de-rosa11@imperial.ac.uk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Emanuwa</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Emudiaga Jonathan Ewan</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emudiaga.emanuwa12@imperial.ac.uk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sz w:val="20"/>
                <w:szCs w:val="20"/>
                <w:lang w:eastAsia="en-GB"/>
              </w:rPr>
            </w:pP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Feyereisen</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Laura</w:t>
            </w:r>
          </w:p>
        </w:tc>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lang w:eastAsia="en-GB"/>
              </w:rPr>
              <w:t>laura.feyereisen10@imperial.ac.uk</w:t>
            </w:r>
          </w:p>
        </w:tc>
      </w:tr>
      <w:tr w:rsidR="002E43DD" w:rsidRPr="009D7320" w:rsidTr="00404BAE">
        <w:trPr>
          <w:trHeight w:val="20"/>
        </w:trPr>
        <w:tc>
          <w:tcPr>
            <w:tcW w:w="1373" w:type="dxa"/>
            <w:vMerge/>
            <w:tcBorders>
              <w:left w:val="single" w:sz="4" w:space="0" w:color="auto"/>
              <w:bottom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sz w:val="20"/>
                <w:szCs w:val="20"/>
                <w:lang w:eastAsia="en-GB"/>
              </w:rPr>
            </w:pP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Wynberg</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Elke</w:t>
            </w:r>
          </w:p>
        </w:tc>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elke.wynberg09@imperial.ac.uk</w:t>
            </w:r>
          </w:p>
        </w:tc>
      </w:tr>
      <w:tr w:rsidR="002E43DD" w:rsidRPr="009D7320" w:rsidTr="00404BAE">
        <w:trPr>
          <w:trHeight w:val="20"/>
        </w:trPr>
        <w:tc>
          <w:tcPr>
            <w:tcW w:w="1373" w:type="dxa"/>
            <w:vMerge w:val="restart"/>
            <w:tcBorders>
              <w:top w:val="nil"/>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2</w:t>
            </w: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Forshaw</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Jennifer Anne</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jennifer.forshaw12@imperial.ac.uk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Grahame</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Emma</w:t>
            </w:r>
          </w:p>
        </w:tc>
        <w:tc>
          <w:tcPr>
            <w:tcW w:w="3677"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emma.grahame12@imperial.ac.uk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Johari</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Nur</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lang w:eastAsia="en-GB"/>
              </w:rPr>
              <w:t>nur.johari10@imperial.ac.uk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Karnani</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Nisha</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nisha.karnani08@imperial.ac.uk</w:t>
            </w:r>
          </w:p>
        </w:tc>
      </w:tr>
      <w:tr w:rsidR="002E43DD" w:rsidRPr="009D7320" w:rsidTr="00404BAE">
        <w:trPr>
          <w:trHeight w:val="20"/>
        </w:trPr>
        <w:tc>
          <w:tcPr>
            <w:tcW w:w="1373" w:type="dxa"/>
            <w:vMerge/>
            <w:tcBorders>
              <w:left w:val="single" w:sz="4" w:space="0" w:color="auto"/>
              <w:bottom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Arnold</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Thomas</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thomas.arnold09@imperial.ac.uk</w:t>
            </w:r>
          </w:p>
        </w:tc>
      </w:tr>
      <w:tr w:rsidR="002E43DD" w:rsidRPr="009D7320" w:rsidTr="00404BAE">
        <w:trPr>
          <w:trHeight w:val="20"/>
        </w:trPr>
        <w:tc>
          <w:tcPr>
            <w:tcW w:w="1373" w:type="dxa"/>
            <w:vMerge w:val="restart"/>
            <w:tcBorders>
              <w:top w:val="nil"/>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3</w:t>
            </w: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Keech</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Maximillian Morgan Kinder</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maximillian.keech09@imperial.ac.uk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Kim</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Sung-Hee</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sung-hee.kim08@imperial.ac.uk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Lee</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Samuel</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samuel.lee09@imperial.ac.uk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Lee</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Yin Yin</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yin.lee09@imperial.ac.uk</w:t>
            </w:r>
          </w:p>
        </w:tc>
      </w:tr>
      <w:tr w:rsidR="002E43DD" w:rsidRPr="009D7320" w:rsidTr="00404BAE">
        <w:trPr>
          <w:trHeight w:val="20"/>
        </w:trPr>
        <w:tc>
          <w:tcPr>
            <w:tcW w:w="1373" w:type="dxa"/>
            <w:vMerge/>
            <w:tcBorders>
              <w:left w:val="single" w:sz="4" w:space="0" w:color="auto"/>
              <w:bottom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Lewis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Marissa</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marissa.lewis09@imperial.ac.uk</w:t>
            </w:r>
          </w:p>
        </w:tc>
      </w:tr>
      <w:tr w:rsidR="002E43DD" w:rsidRPr="009D7320" w:rsidTr="00404BAE">
        <w:trPr>
          <w:trHeight w:val="20"/>
        </w:trPr>
        <w:tc>
          <w:tcPr>
            <w:tcW w:w="1373" w:type="dxa"/>
            <w:vMerge w:val="restart"/>
            <w:tcBorders>
              <w:top w:val="nil"/>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4</w:t>
            </w: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Low</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Jen Mae</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jen.low09@imperial.ac.uk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McGown</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Patrick James</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patrick.mcgown09@imperial.ac.uk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Ologunde</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Rele Matthew Adedeji</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rele.ologunde09@imperial.ac.uk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Patel</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Purvi Nimishkumar</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purvi.patel09@imperial.ac.uk</w:t>
            </w:r>
          </w:p>
        </w:tc>
      </w:tr>
      <w:tr w:rsidR="002E43DD" w:rsidRPr="009D7320" w:rsidTr="00404BAE">
        <w:trPr>
          <w:trHeight w:val="20"/>
        </w:trPr>
        <w:tc>
          <w:tcPr>
            <w:tcW w:w="1373" w:type="dxa"/>
            <w:vMerge/>
            <w:tcBorders>
              <w:left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Prager</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Latreille Gabrielle Mary</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latreille.prager09@imperial.ac.uk</w:t>
            </w:r>
          </w:p>
        </w:tc>
      </w:tr>
      <w:tr w:rsidR="002E43DD" w:rsidRPr="009D7320" w:rsidTr="00404BAE">
        <w:trPr>
          <w:trHeight w:val="20"/>
        </w:trPr>
        <w:tc>
          <w:tcPr>
            <w:tcW w:w="1373" w:type="dxa"/>
            <w:vMerge/>
            <w:tcBorders>
              <w:left w:val="single" w:sz="4" w:space="0" w:color="auto"/>
              <w:bottom w:val="single" w:sz="4" w:space="0" w:color="auto"/>
              <w:right w:val="single" w:sz="4" w:space="0" w:color="auto"/>
            </w:tcBorders>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Zahid</w:t>
            </w:r>
          </w:p>
        </w:tc>
        <w:tc>
          <w:tcPr>
            <w:tcW w:w="1840"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Shereen Sanaa</w:t>
            </w:r>
          </w:p>
        </w:tc>
        <w:tc>
          <w:tcPr>
            <w:tcW w:w="3677" w:type="dxa"/>
            <w:tcBorders>
              <w:top w:val="nil"/>
              <w:left w:val="nil"/>
              <w:bottom w:val="single" w:sz="4" w:space="0" w:color="auto"/>
              <w:right w:val="single" w:sz="4" w:space="0" w:color="auto"/>
            </w:tcBorders>
            <w:shd w:val="clear" w:color="auto" w:fill="auto"/>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shereen.zahid09@imperial.ac.uk</w:t>
            </w:r>
          </w:p>
        </w:tc>
      </w:tr>
      <w:tr w:rsidR="002E43DD" w:rsidRPr="009D7320" w:rsidTr="00404BAE">
        <w:trPr>
          <w:trHeight w:val="70"/>
        </w:trPr>
        <w:tc>
          <w:tcPr>
            <w:tcW w:w="1373" w:type="dxa"/>
            <w:vMerge w:val="restart"/>
            <w:tcBorders>
              <w:top w:val="nil"/>
              <w:left w:val="single" w:sz="4" w:space="0" w:color="auto"/>
              <w:right w:val="single" w:sz="4" w:space="0" w:color="auto"/>
            </w:tcBorders>
            <w:shd w:val="clear" w:color="auto" w:fill="D9D9D9" w:themeFill="background1" w:themeFillShade="D9"/>
          </w:tcPr>
          <w:p w:rsidR="002E43DD" w:rsidRPr="009D7320" w:rsidRDefault="002E43DD" w:rsidP="00404BAE">
            <w:pPr>
              <w:rPr>
                <w:rFonts w:eastAsia="Times New Roman"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5</w:t>
            </w:r>
          </w:p>
          <w:p w:rsidR="002E43DD" w:rsidRPr="009D7320" w:rsidRDefault="002E43DD" w:rsidP="00404BAE">
            <w:pPr>
              <w:rPr>
                <w:rFonts w:asciiTheme="minorHAnsi" w:eastAsia="Times New Roman" w:hAnsiTheme="minorHAnsi" w:cstheme="minorHAnsi"/>
                <w:color w:val="000000"/>
                <w:sz w:val="20"/>
                <w:szCs w:val="20"/>
                <w:lang w:eastAsia="en-GB"/>
              </w:rPr>
            </w:pPr>
          </w:p>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Rae</w:t>
            </w:r>
          </w:p>
        </w:tc>
        <w:tc>
          <w:tcPr>
            <w:tcW w:w="1840" w:type="dxa"/>
            <w:tcBorders>
              <w:top w:val="nil"/>
              <w:left w:val="nil"/>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Sophie</w:t>
            </w:r>
          </w:p>
        </w:tc>
        <w:tc>
          <w:tcPr>
            <w:tcW w:w="36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lang w:eastAsia="en-GB"/>
              </w:rPr>
              <w:t>sophie.rae10@imperial.ac.uk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Ramjan</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Rubeena</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rubeena.ramjan09@imperial.ac.uk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Sadasivan</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Luvarnia</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luvarnia.sadasivan09@imperial.ac.uk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Stewart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Eleanor Margaret</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eleanor.stewart09@imperial.ac.uk</w:t>
            </w:r>
          </w:p>
        </w:tc>
      </w:tr>
      <w:tr w:rsidR="002E43DD" w:rsidRPr="009D7320" w:rsidTr="00404BAE">
        <w:trPr>
          <w:trHeight w:val="20"/>
        </w:trPr>
        <w:tc>
          <w:tcPr>
            <w:tcW w:w="1373" w:type="dxa"/>
            <w:vMerge/>
            <w:tcBorders>
              <w:left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Yasin</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Maryiam</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maryiam.yasin09@imperial.ac.uk</w:t>
            </w:r>
          </w:p>
        </w:tc>
      </w:tr>
      <w:tr w:rsidR="002E43DD" w:rsidRPr="009D7320" w:rsidTr="00404BAE">
        <w:trPr>
          <w:trHeight w:val="20"/>
        </w:trPr>
        <w:tc>
          <w:tcPr>
            <w:tcW w:w="1373" w:type="dxa"/>
            <w:vMerge/>
            <w:tcBorders>
              <w:left w:val="single" w:sz="4" w:space="0" w:color="auto"/>
              <w:bottom w:val="single" w:sz="4" w:space="0" w:color="auto"/>
              <w:right w:val="single" w:sz="4" w:space="0" w:color="auto"/>
            </w:tcBorders>
            <w:shd w:val="clear" w:color="auto" w:fill="D9D9D9" w:themeFill="background1" w:themeFillShade="D9"/>
          </w:tcPr>
          <w:p w:rsidR="002E43DD" w:rsidRPr="009D7320" w:rsidRDefault="002E43DD" w:rsidP="00404BAE">
            <w:pPr>
              <w:rPr>
                <w:rFonts w:asciiTheme="minorHAnsi" w:eastAsia="Times New Roman" w:hAnsiTheme="minorHAnsi" w:cstheme="minorHAnsi"/>
                <w:color w:val="000000"/>
                <w:sz w:val="20"/>
                <w:szCs w:val="20"/>
                <w:lang w:eastAsia="en-GB"/>
              </w:rPr>
            </w:pPr>
          </w:p>
        </w:tc>
        <w:tc>
          <w:tcPr>
            <w:tcW w:w="13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Yeats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color w:val="000000"/>
                <w:sz w:val="20"/>
                <w:szCs w:val="20"/>
                <w:lang w:eastAsia="en-GB"/>
              </w:rPr>
            </w:pPr>
            <w:r w:rsidRPr="009D7320">
              <w:rPr>
                <w:rFonts w:asciiTheme="minorHAnsi" w:eastAsia="Times New Roman" w:hAnsiTheme="minorHAnsi" w:cstheme="minorHAnsi"/>
                <w:color w:val="000000"/>
                <w:sz w:val="20"/>
                <w:szCs w:val="20"/>
                <w:lang w:eastAsia="en-GB"/>
              </w:rPr>
              <w:t>James</w:t>
            </w:r>
          </w:p>
        </w:tc>
        <w:tc>
          <w:tcPr>
            <w:tcW w:w="3677" w:type="dxa"/>
            <w:tcBorders>
              <w:top w:val="nil"/>
              <w:left w:val="nil"/>
              <w:bottom w:val="single" w:sz="4" w:space="0" w:color="auto"/>
              <w:right w:val="single" w:sz="4" w:space="0" w:color="auto"/>
            </w:tcBorders>
            <w:shd w:val="clear" w:color="auto" w:fill="D9D9D9" w:themeFill="background1" w:themeFillShade="D9"/>
            <w:vAlign w:val="bottom"/>
            <w:hideMark/>
          </w:tcPr>
          <w:p w:rsidR="002E43DD" w:rsidRPr="009D7320" w:rsidRDefault="002E43DD" w:rsidP="00404BAE">
            <w:pPr>
              <w:rPr>
                <w:rFonts w:asciiTheme="minorHAnsi" w:eastAsia="Times New Roman" w:hAnsiTheme="minorHAnsi" w:cstheme="minorHAnsi"/>
                <w:sz w:val="20"/>
                <w:szCs w:val="20"/>
                <w:lang w:eastAsia="en-GB"/>
              </w:rPr>
            </w:pPr>
            <w:r w:rsidRPr="009D7320">
              <w:rPr>
                <w:rFonts w:asciiTheme="minorHAnsi" w:eastAsia="Times New Roman" w:hAnsiTheme="minorHAnsi" w:cstheme="minorHAnsi"/>
                <w:sz w:val="20"/>
                <w:szCs w:val="20"/>
                <w:lang w:eastAsia="en-GB"/>
              </w:rPr>
              <w:t>james.yeats12@imperial.ac.uk</w:t>
            </w:r>
          </w:p>
        </w:tc>
      </w:tr>
    </w:tbl>
    <w:p w:rsidR="002E43DD" w:rsidRPr="009D7320" w:rsidRDefault="002E43DD" w:rsidP="002E43DD"/>
    <w:sectPr w:rsidR="002E43DD" w:rsidRPr="009D7320" w:rsidSect="009D7320">
      <w:pgSz w:w="11904" w:h="16834" w:code="9"/>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160" w:rsidRDefault="00AB2160" w:rsidP="00F442F4">
      <w:r>
        <w:separator/>
      </w:r>
    </w:p>
  </w:endnote>
  <w:endnote w:type="continuationSeparator" w:id="0">
    <w:p w:rsidR="00AB2160" w:rsidRDefault="00AB2160" w:rsidP="00F4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yriad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BAE" w:rsidRDefault="00343413" w:rsidP="00715AD7">
    <w:pPr>
      <w:pStyle w:val="Footer"/>
      <w:framePr w:wrap="around" w:vAnchor="text" w:hAnchor="margin" w:xAlign="right" w:y="1"/>
      <w:rPr>
        <w:rStyle w:val="PageNumber"/>
      </w:rPr>
    </w:pPr>
    <w:r>
      <w:rPr>
        <w:rStyle w:val="PageNumber"/>
      </w:rPr>
      <w:fldChar w:fldCharType="begin"/>
    </w:r>
    <w:r w:rsidR="00404BAE">
      <w:rPr>
        <w:rStyle w:val="PageNumber"/>
      </w:rPr>
      <w:instrText xml:space="preserve">PAGE  </w:instrText>
    </w:r>
    <w:r>
      <w:rPr>
        <w:rStyle w:val="PageNumber"/>
      </w:rPr>
      <w:fldChar w:fldCharType="end"/>
    </w:r>
  </w:p>
  <w:p w:rsidR="00404BAE" w:rsidRDefault="00404BAE" w:rsidP="006655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BAE" w:rsidRDefault="00343413" w:rsidP="00715AD7">
    <w:pPr>
      <w:pStyle w:val="Footer"/>
      <w:framePr w:wrap="around" w:vAnchor="text" w:hAnchor="margin" w:xAlign="right" w:y="1"/>
      <w:rPr>
        <w:rStyle w:val="PageNumber"/>
      </w:rPr>
    </w:pPr>
    <w:r>
      <w:rPr>
        <w:rStyle w:val="PageNumber"/>
      </w:rPr>
      <w:fldChar w:fldCharType="begin"/>
    </w:r>
    <w:r w:rsidR="00404BAE">
      <w:rPr>
        <w:rStyle w:val="PageNumber"/>
      </w:rPr>
      <w:instrText xml:space="preserve">PAGE  </w:instrText>
    </w:r>
    <w:r>
      <w:rPr>
        <w:rStyle w:val="PageNumber"/>
      </w:rPr>
      <w:fldChar w:fldCharType="separate"/>
    </w:r>
    <w:r w:rsidR="009D7320">
      <w:rPr>
        <w:rStyle w:val="PageNumber"/>
        <w:noProof/>
      </w:rPr>
      <w:t>2</w:t>
    </w:r>
    <w:r>
      <w:rPr>
        <w:rStyle w:val="PageNumber"/>
      </w:rPr>
      <w:fldChar w:fldCharType="end"/>
    </w:r>
  </w:p>
  <w:p w:rsidR="00404BAE" w:rsidRDefault="00404BAE" w:rsidP="006655C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160" w:rsidRDefault="00AB2160" w:rsidP="00F442F4">
      <w:r>
        <w:separator/>
      </w:r>
    </w:p>
  </w:footnote>
  <w:footnote w:type="continuationSeparator" w:id="0">
    <w:p w:rsidR="00AB2160" w:rsidRDefault="00AB2160" w:rsidP="00F44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AC2"/>
    <w:multiLevelType w:val="multilevel"/>
    <w:tmpl w:val="BE6E35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74250C"/>
    <w:multiLevelType w:val="hybridMultilevel"/>
    <w:tmpl w:val="EB96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F61D1"/>
    <w:multiLevelType w:val="hybridMultilevel"/>
    <w:tmpl w:val="B372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0D43AB"/>
    <w:multiLevelType w:val="hybridMultilevel"/>
    <w:tmpl w:val="527242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410A4"/>
    <w:multiLevelType w:val="hybridMultilevel"/>
    <w:tmpl w:val="491ABB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0775495"/>
    <w:multiLevelType w:val="hybridMultilevel"/>
    <w:tmpl w:val="5206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35328"/>
    <w:multiLevelType w:val="hybridMultilevel"/>
    <w:tmpl w:val="D43CA952"/>
    <w:lvl w:ilvl="0" w:tplc="5C0A4C80">
      <w:start w:val="1"/>
      <w:numFmt w:val="bullet"/>
      <w:lvlText w:val=""/>
      <w:lvlJc w:val="left"/>
      <w:pPr>
        <w:tabs>
          <w:tab w:val="num" w:pos="720"/>
        </w:tabs>
        <w:ind w:left="720" w:hanging="360"/>
      </w:pPr>
      <w:rPr>
        <w:rFonts w:ascii="Wingdings" w:hAnsi="Wingdings" w:hint="default"/>
      </w:rPr>
    </w:lvl>
    <w:lvl w:ilvl="1" w:tplc="603419AC" w:tentative="1">
      <w:start w:val="1"/>
      <w:numFmt w:val="bullet"/>
      <w:lvlText w:val=""/>
      <w:lvlJc w:val="left"/>
      <w:pPr>
        <w:tabs>
          <w:tab w:val="num" w:pos="1440"/>
        </w:tabs>
        <w:ind w:left="1440" w:hanging="360"/>
      </w:pPr>
      <w:rPr>
        <w:rFonts w:ascii="Wingdings" w:hAnsi="Wingdings" w:hint="default"/>
      </w:rPr>
    </w:lvl>
    <w:lvl w:ilvl="2" w:tplc="517EE140" w:tentative="1">
      <w:start w:val="1"/>
      <w:numFmt w:val="bullet"/>
      <w:lvlText w:val=""/>
      <w:lvlJc w:val="left"/>
      <w:pPr>
        <w:tabs>
          <w:tab w:val="num" w:pos="2160"/>
        </w:tabs>
        <w:ind w:left="2160" w:hanging="360"/>
      </w:pPr>
      <w:rPr>
        <w:rFonts w:ascii="Wingdings" w:hAnsi="Wingdings" w:hint="default"/>
      </w:rPr>
    </w:lvl>
    <w:lvl w:ilvl="3" w:tplc="E20A370A" w:tentative="1">
      <w:start w:val="1"/>
      <w:numFmt w:val="bullet"/>
      <w:lvlText w:val=""/>
      <w:lvlJc w:val="left"/>
      <w:pPr>
        <w:tabs>
          <w:tab w:val="num" w:pos="2880"/>
        </w:tabs>
        <w:ind w:left="2880" w:hanging="360"/>
      </w:pPr>
      <w:rPr>
        <w:rFonts w:ascii="Wingdings" w:hAnsi="Wingdings" w:hint="default"/>
      </w:rPr>
    </w:lvl>
    <w:lvl w:ilvl="4" w:tplc="E7CC02DE" w:tentative="1">
      <w:start w:val="1"/>
      <w:numFmt w:val="bullet"/>
      <w:lvlText w:val=""/>
      <w:lvlJc w:val="left"/>
      <w:pPr>
        <w:tabs>
          <w:tab w:val="num" w:pos="3600"/>
        </w:tabs>
        <w:ind w:left="3600" w:hanging="360"/>
      </w:pPr>
      <w:rPr>
        <w:rFonts w:ascii="Wingdings" w:hAnsi="Wingdings" w:hint="default"/>
      </w:rPr>
    </w:lvl>
    <w:lvl w:ilvl="5" w:tplc="81EA8454" w:tentative="1">
      <w:start w:val="1"/>
      <w:numFmt w:val="bullet"/>
      <w:lvlText w:val=""/>
      <w:lvlJc w:val="left"/>
      <w:pPr>
        <w:tabs>
          <w:tab w:val="num" w:pos="4320"/>
        </w:tabs>
        <w:ind w:left="4320" w:hanging="360"/>
      </w:pPr>
      <w:rPr>
        <w:rFonts w:ascii="Wingdings" w:hAnsi="Wingdings" w:hint="default"/>
      </w:rPr>
    </w:lvl>
    <w:lvl w:ilvl="6" w:tplc="23C8F49A" w:tentative="1">
      <w:start w:val="1"/>
      <w:numFmt w:val="bullet"/>
      <w:lvlText w:val=""/>
      <w:lvlJc w:val="left"/>
      <w:pPr>
        <w:tabs>
          <w:tab w:val="num" w:pos="5040"/>
        </w:tabs>
        <w:ind w:left="5040" w:hanging="360"/>
      </w:pPr>
      <w:rPr>
        <w:rFonts w:ascii="Wingdings" w:hAnsi="Wingdings" w:hint="default"/>
      </w:rPr>
    </w:lvl>
    <w:lvl w:ilvl="7" w:tplc="55400696" w:tentative="1">
      <w:start w:val="1"/>
      <w:numFmt w:val="bullet"/>
      <w:lvlText w:val=""/>
      <w:lvlJc w:val="left"/>
      <w:pPr>
        <w:tabs>
          <w:tab w:val="num" w:pos="5760"/>
        </w:tabs>
        <w:ind w:left="5760" w:hanging="360"/>
      </w:pPr>
      <w:rPr>
        <w:rFonts w:ascii="Wingdings" w:hAnsi="Wingdings" w:hint="default"/>
      </w:rPr>
    </w:lvl>
    <w:lvl w:ilvl="8" w:tplc="E6A25ACE" w:tentative="1">
      <w:start w:val="1"/>
      <w:numFmt w:val="bullet"/>
      <w:lvlText w:val=""/>
      <w:lvlJc w:val="left"/>
      <w:pPr>
        <w:tabs>
          <w:tab w:val="num" w:pos="6480"/>
        </w:tabs>
        <w:ind w:left="6480" w:hanging="360"/>
      </w:pPr>
      <w:rPr>
        <w:rFonts w:ascii="Wingdings" w:hAnsi="Wingdings" w:hint="default"/>
      </w:rPr>
    </w:lvl>
  </w:abstractNum>
  <w:abstractNum w:abstractNumId="7">
    <w:nsid w:val="1EB825D7"/>
    <w:multiLevelType w:val="hybridMultilevel"/>
    <w:tmpl w:val="C73E2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D135C6"/>
    <w:multiLevelType w:val="hybridMultilevel"/>
    <w:tmpl w:val="5BBC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D273AC"/>
    <w:multiLevelType w:val="hybridMultilevel"/>
    <w:tmpl w:val="C89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A44EF0"/>
    <w:multiLevelType w:val="hybridMultilevel"/>
    <w:tmpl w:val="4326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C82E2E"/>
    <w:multiLevelType w:val="hybridMultilevel"/>
    <w:tmpl w:val="E19A7FAC"/>
    <w:lvl w:ilvl="0" w:tplc="739220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930C6"/>
    <w:multiLevelType w:val="hybridMultilevel"/>
    <w:tmpl w:val="C4A6C8E0"/>
    <w:lvl w:ilvl="0" w:tplc="A028C75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EC3BA8"/>
    <w:multiLevelType w:val="hybridMultilevel"/>
    <w:tmpl w:val="DCDE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990F2B"/>
    <w:multiLevelType w:val="hybridMultilevel"/>
    <w:tmpl w:val="32B01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8708CE"/>
    <w:multiLevelType w:val="hybridMultilevel"/>
    <w:tmpl w:val="0EF0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AB7033"/>
    <w:multiLevelType w:val="hybridMultilevel"/>
    <w:tmpl w:val="2EACF136"/>
    <w:lvl w:ilvl="0" w:tplc="5436357A">
      <w:start w:val="12"/>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10624A"/>
    <w:multiLevelType w:val="hybridMultilevel"/>
    <w:tmpl w:val="0DFE1B14"/>
    <w:lvl w:ilvl="0" w:tplc="5436357A">
      <w:start w:val="12"/>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440A9F"/>
    <w:multiLevelType w:val="hybridMultilevel"/>
    <w:tmpl w:val="B4C43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0F6D74"/>
    <w:multiLevelType w:val="hybridMultilevel"/>
    <w:tmpl w:val="A57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EF4999"/>
    <w:multiLevelType w:val="hybridMultilevel"/>
    <w:tmpl w:val="50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CA2A8C"/>
    <w:multiLevelType w:val="hybridMultilevel"/>
    <w:tmpl w:val="0682FE6C"/>
    <w:lvl w:ilvl="0" w:tplc="331280C0">
      <w:start w:val="1"/>
      <w:numFmt w:val="bullet"/>
      <w:lvlText w:val=""/>
      <w:lvlJc w:val="left"/>
      <w:pPr>
        <w:tabs>
          <w:tab w:val="num" w:pos="720"/>
        </w:tabs>
        <w:ind w:left="720" w:hanging="360"/>
      </w:pPr>
      <w:rPr>
        <w:rFonts w:ascii="Wingdings" w:hAnsi="Wingdings" w:hint="default"/>
      </w:rPr>
    </w:lvl>
    <w:lvl w:ilvl="1" w:tplc="D22A2A98" w:tentative="1">
      <w:start w:val="1"/>
      <w:numFmt w:val="bullet"/>
      <w:lvlText w:val=""/>
      <w:lvlJc w:val="left"/>
      <w:pPr>
        <w:tabs>
          <w:tab w:val="num" w:pos="1440"/>
        </w:tabs>
        <w:ind w:left="1440" w:hanging="360"/>
      </w:pPr>
      <w:rPr>
        <w:rFonts w:ascii="Wingdings" w:hAnsi="Wingdings" w:hint="default"/>
      </w:rPr>
    </w:lvl>
    <w:lvl w:ilvl="2" w:tplc="7CA2B708" w:tentative="1">
      <w:start w:val="1"/>
      <w:numFmt w:val="bullet"/>
      <w:lvlText w:val=""/>
      <w:lvlJc w:val="left"/>
      <w:pPr>
        <w:tabs>
          <w:tab w:val="num" w:pos="2160"/>
        </w:tabs>
        <w:ind w:left="2160" w:hanging="360"/>
      </w:pPr>
      <w:rPr>
        <w:rFonts w:ascii="Wingdings" w:hAnsi="Wingdings" w:hint="default"/>
      </w:rPr>
    </w:lvl>
    <w:lvl w:ilvl="3" w:tplc="2474BEDC" w:tentative="1">
      <w:start w:val="1"/>
      <w:numFmt w:val="bullet"/>
      <w:lvlText w:val=""/>
      <w:lvlJc w:val="left"/>
      <w:pPr>
        <w:tabs>
          <w:tab w:val="num" w:pos="2880"/>
        </w:tabs>
        <w:ind w:left="2880" w:hanging="360"/>
      </w:pPr>
      <w:rPr>
        <w:rFonts w:ascii="Wingdings" w:hAnsi="Wingdings" w:hint="default"/>
      </w:rPr>
    </w:lvl>
    <w:lvl w:ilvl="4" w:tplc="872661D6" w:tentative="1">
      <w:start w:val="1"/>
      <w:numFmt w:val="bullet"/>
      <w:lvlText w:val=""/>
      <w:lvlJc w:val="left"/>
      <w:pPr>
        <w:tabs>
          <w:tab w:val="num" w:pos="3600"/>
        </w:tabs>
        <w:ind w:left="3600" w:hanging="360"/>
      </w:pPr>
      <w:rPr>
        <w:rFonts w:ascii="Wingdings" w:hAnsi="Wingdings" w:hint="default"/>
      </w:rPr>
    </w:lvl>
    <w:lvl w:ilvl="5" w:tplc="CA0E094A" w:tentative="1">
      <w:start w:val="1"/>
      <w:numFmt w:val="bullet"/>
      <w:lvlText w:val=""/>
      <w:lvlJc w:val="left"/>
      <w:pPr>
        <w:tabs>
          <w:tab w:val="num" w:pos="4320"/>
        </w:tabs>
        <w:ind w:left="4320" w:hanging="360"/>
      </w:pPr>
      <w:rPr>
        <w:rFonts w:ascii="Wingdings" w:hAnsi="Wingdings" w:hint="default"/>
      </w:rPr>
    </w:lvl>
    <w:lvl w:ilvl="6" w:tplc="9E84D98E" w:tentative="1">
      <w:start w:val="1"/>
      <w:numFmt w:val="bullet"/>
      <w:lvlText w:val=""/>
      <w:lvlJc w:val="left"/>
      <w:pPr>
        <w:tabs>
          <w:tab w:val="num" w:pos="5040"/>
        </w:tabs>
        <w:ind w:left="5040" w:hanging="360"/>
      </w:pPr>
      <w:rPr>
        <w:rFonts w:ascii="Wingdings" w:hAnsi="Wingdings" w:hint="default"/>
      </w:rPr>
    </w:lvl>
    <w:lvl w:ilvl="7" w:tplc="BA1A1292" w:tentative="1">
      <w:start w:val="1"/>
      <w:numFmt w:val="bullet"/>
      <w:lvlText w:val=""/>
      <w:lvlJc w:val="left"/>
      <w:pPr>
        <w:tabs>
          <w:tab w:val="num" w:pos="5760"/>
        </w:tabs>
        <w:ind w:left="5760" w:hanging="360"/>
      </w:pPr>
      <w:rPr>
        <w:rFonts w:ascii="Wingdings" w:hAnsi="Wingdings" w:hint="default"/>
      </w:rPr>
    </w:lvl>
    <w:lvl w:ilvl="8" w:tplc="EB3AC0F8" w:tentative="1">
      <w:start w:val="1"/>
      <w:numFmt w:val="bullet"/>
      <w:lvlText w:val=""/>
      <w:lvlJc w:val="left"/>
      <w:pPr>
        <w:tabs>
          <w:tab w:val="num" w:pos="6480"/>
        </w:tabs>
        <w:ind w:left="6480" w:hanging="360"/>
      </w:pPr>
      <w:rPr>
        <w:rFonts w:ascii="Wingdings" w:hAnsi="Wingdings" w:hint="default"/>
      </w:rPr>
    </w:lvl>
  </w:abstractNum>
  <w:abstractNum w:abstractNumId="22">
    <w:nsid w:val="52071A44"/>
    <w:multiLevelType w:val="hybridMultilevel"/>
    <w:tmpl w:val="A4806244"/>
    <w:lvl w:ilvl="0" w:tplc="6590B5AE">
      <w:start w:val="1"/>
      <w:numFmt w:val="bullet"/>
      <w:lvlText w:val="•"/>
      <w:lvlJc w:val="left"/>
      <w:pPr>
        <w:tabs>
          <w:tab w:val="num" w:pos="720"/>
        </w:tabs>
        <w:ind w:left="720" w:hanging="360"/>
      </w:pPr>
      <w:rPr>
        <w:rFonts w:ascii="Times New Roman" w:hAnsi="Times New Roman" w:hint="default"/>
      </w:rPr>
    </w:lvl>
    <w:lvl w:ilvl="1" w:tplc="6B646DF0" w:tentative="1">
      <w:start w:val="1"/>
      <w:numFmt w:val="bullet"/>
      <w:lvlText w:val="•"/>
      <w:lvlJc w:val="left"/>
      <w:pPr>
        <w:tabs>
          <w:tab w:val="num" w:pos="1440"/>
        </w:tabs>
        <w:ind w:left="1440" w:hanging="360"/>
      </w:pPr>
      <w:rPr>
        <w:rFonts w:ascii="Times New Roman" w:hAnsi="Times New Roman" w:hint="default"/>
      </w:rPr>
    </w:lvl>
    <w:lvl w:ilvl="2" w:tplc="2180B22E" w:tentative="1">
      <w:start w:val="1"/>
      <w:numFmt w:val="bullet"/>
      <w:lvlText w:val="•"/>
      <w:lvlJc w:val="left"/>
      <w:pPr>
        <w:tabs>
          <w:tab w:val="num" w:pos="2160"/>
        </w:tabs>
        <w:ind w:left="2160" w:hanging="360"/>
      </w:pPr>
      <w:rPr>
        <w:rFonts w:ascii="Times New Roman" w:hAnsi="Times New Roman" w:hint="default"/>
      </w:rPr>
    </w:lvl>
    <w:lvl w:ilvl="3" w:tplc="3280D9C0" w:tentative="1">
      <w:start w:val="1"/>
      <w:numFmt w:val="bullet"/>
      <w:lvlText w:val="•"/>
      <w:lvlJc w:val="left"/>
      <w:pPr>
        <w:tabs>
          <w:tab w:val="num" w:pos="2880"/>
        </w:tabs>
        <w:ind w:left="2880" w:hanging="360"/>
      </w:pPr>
      <w:rPr>
        <w:rFonts w:ascii="Times New Roman" w:hAnsi="Times New Roman" w:hint="default"/>
      </w:rPr>
    </w:lvl>
    <w:lvl w:ilvl="4" w:tplc="365A75AA" w:tentative="1">
      <w:start w:val="1"/>
      <w:numFmt w:val="bullet"/>
      <w:lvlText w:val="•"/>
      <w:lvlJc w:val="left"/>
      <w:pPr>
        <w:tabs>
          <w:tab w:val="num" w:pos="3600"/>
        </w:tabs>
        <w:ind w:left="3600" w:hanging="360"/>
      </w:pPr>
      <w:rPr>
        <w:rFonts w:ascii="Times New Roman" w:hAnsi="Times New Roman" w:hint="default"/>
      </w:rPr>
    </w:lvl>
    <w:lvl w:ilvl="5" w:tplc="6C883720" w:tentative="1">
      <w:start w:val="1"/>
      <w:numFmt w:val="bullet"/>
      <w:lvlText w:val="•"/>
      <w:lvlJc w:val="left"/>
      <w:pPr>
        <w:tabs>
          <w:tab w:val="num" w:pos="4320"/>
        </w:tabs>
        <w:ind w:left="4320" w:hanging="360"/>
      </w:pPr>
      <w:rPr>
        <w:rFonts w:ascii="Times New Roman" w:hAnsi="Times New Roman" w:hint="default"/>
      </w:rPr>
    </w:lvl>
    <w:lvl w:ilvl="6" w:tplc="3D86AC76" w:tentative="1">
      <w:start w:val="1"/>
      <w:numFmt w:val="bullet"/>
      <w:lvlText w:val="•"/>
      <w:lvlJc w:val="left"/>
      <w:pPr>
        <w:tabs>
          <w:tab w:val="num" w:pos="5040"/>
        </w:tabs>
        <w:ind w:left="5040" w:hanging="360"/>
      </w:pPr>
      <w:rPr>
        <w:rFonts w:ascii="Times New Roman" w:hAnsi="Times New Roman" w:hint="default"/>
      </w:rPr>
    </w:lvl>
    <w:lvl w:ilvl="7" w:tplc="C546CB92" w:tentative="1">
      <w:start w:val="1"/>
      <w:numFmt w:val="bullet"/>
      <w:lvlText w:val="•"/>
      <w:lvlJc w:val="left"/>
      <w:pPr>
        <w:tabs>
          <w:tab w:val="num" w:pos="5760"/>
        </w:tabs>
        <w:ind w:left="5760" w:hanging="360"/>
      </w:pPr>
      <w:rPr>
        <w:rFonts w:ascii="Times New Roman" w:hAnsi="Times New Roman" w:hint="default"/>
      </w:rPr>
    </w:lvl>
    <w:lvl w:ilvl="8" w:tplc="546C44D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2693A37"/>
    <w:multiLevelType w:val="hybridMultilevel"/>
    <w:tmpl w:val="BF00FDC0"/>
    <w:lvl w:ilvl="0" w:tplc="78142806">
      <w:start w:val="3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C75286"/>
    <w:multiLevelType w:val="hybridMultilevel"/>
    <w:tmpl w:val="32ECFD4A"/>
    <w:lvl w:ilvl="0" w:tplc="A356896A">
      <w:start w:val="1"/>
      <w:numFmt w:val="bullet"/>
      <w:lvlText w:val="•"/>
      <w:lvlJc w:val="left"/>
      <w:pPr>
        <w:tabs>
          <w:tab w:val="num" w:pos="720"/>
        </w:tabs>
        <w:ind w:left="720" w:hanging="360"/>
      </w:pPr>
      <w:rPr>
        <w:rFonts w:ascii="Times New Roman" w:hAnsi="Times New Roman" w:hint="default"/>
      </w:rPr>
    </w:lvl>
    <w:lvl w:ilvl="1" w:tplc="1CBCB85C" w:tentative="1">
      <w:start w:val="1"/>
      <w:numFmt w:val="bullet"/>
      <w:lvlText w:val="•"/>
      <w:lvlJc w:val="left"/>
      <w:pPr>
        <w:tabs>
          <w:tab w:val="num" w:pos="1440"/>
        </w:tabs>
        <w:ind w:left="1440" w:hanging="360"/>
      </w:pPr>
      <w:rPr>
        <w:rFonts w:ascii="Times New Roman" w:hAnsi="Times New Roman" w:hint="default"/>
      </w:rPr>
    </w:lvl>
    <w:lvl w:ilvl="2" w:tplc="245EB1D2" w:tentative="1">
      <w:start w:val="1"/>
      <w:numFmt w:val="bullet"/>
      <w:lvlText w:val="•"/>
      <w:lvlJc w:val="left"/>
      <w:pPr>
        <w:tabs>
          <w:tab w:val="num" w:pos="2160"/>
        </w:tabs>
        <w:ind w:left="2160" w:hanging="360"/>
      </w:pPr>
      <w:rPr>
        <w:rFonts w:ascii="Times New Roman" w:hAnsi="Times New Roman" w:hint="default"/>
      </w:rPr>
    </w:lvl>
    <w:lvl w:ilvl="3" w:tplc="4918A05C" w:tentative="1">
      <w:start w:val="1"/>
      <w:numFmt w:val="bullet"/>
      <w:lvlText w:val="•"/>
      <w:lvlJc w:val="left"/>
      <w:pPr>
        <w:tabs>
          <w:tab w:val="num" w:pos="2880"/>
        </w:tabs>
        <w:ind w:left="2880" w:hanging="360"/>
      </w:pPr>
      <w:rPr>
        <w:rFonts w:ascii="Times New Roman" w:hAnsi="Times New Roman" w:hint="default"/>
      </w:rPr>
    </w:lvl>
    <w:lvl w:ilvl="4" w:tplc="6D82ACB4" w:tentative="1">
      <w:start w:val="1"/>
      <w:numFmt w:val="bullet"/>
      <w:lvlText w:val="•"/>
      <w:lvlJc w:val="left"/>
      <w:pPr>
        <w:tabs>
          <w:tab w:val="num" w:pos="3600"/>
        </w:tabs>
        <w:ind w:left="3600" w:hanging="360"/>
      </w:pPr>
      <w:rPr>
        <w:rFonts w:ascii="Times New Roman" w:hAnsi="Times New Roman" w:hint="default"/>
      </w:rPr>
    </w:lvl>
    <w:lvl w:ilvl="5" w:tplc="02EA33FC" w:tentative="1">
      <w:start w:val="1"/>
      <w:numFmt w:val="bullet"/>
      <w:lvlText w:val="•"/>
      <w:lvlJc w:val="left"/>
      <w:pPr>
        <w:tabs>
          <w:tab w:val="num" w:pos="4320"/>
        </w:tabs>
        <w:ind w:left="4320" w:hanging="360"/>
      </w:pPr>
      <w:rPr>
        <w:rFonts w:ascii="Times New Roman" w:hAnsi="Times New Roman" w:hint="default"/>
      </w:rPr>
    </w:lvl>
    <w:lvl w:ilvl="6" w:tplc="C9F6A12E" w:tentative="1">
      <w:start w:val="1"/>
      <w:numFmt w:val="bullet"/>
      <w:lvlText w:val="•"/>
      <w:lvlJc w:val="left"/>
      <w:pPr>
        <w:tabs>
          <w:tab w:val="num" w:pos="5040"/>
        </w:tabs>
        <w:ind w:left="5040" w:hanging="360"/>
      </w:pPr>
      <w:rPr>
        <w:rFonts w:ascii="Times New Roman" w:hAnsi="Times New Roman" w:hint="default"/>
      </w:rPr>
    </w:lvl>
    <w:lvl w:ilvl="7" w:tplc="E2044E5E" w:tentative="1">
      <w:start w:val="1"/>
      <w:numFmt w:val="bullet"/>
      <w:lvlText w:val="•"/>
      <w:lvlJc w:val="left"/>
      <w:pPr>
        <w:tabs>
          <w:tab w:val="num" w:pos="5760"/>
        </w:tabs>
        <w:ind w:left="5760" w:hanging="360"/>
      </w:pPr>
      <w:rPr>
        <w:rFonts w:ascii="Times New Roman" w:hAnsi="Times New Roman" w:hint="default"/>
      </w:rPr>
    </w:lvl>
    <w:lvl w:ilvl="8" w:tplc="FF90F53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6FA6BC5"/>
    <w:multiLevelType w:val="hybridMultilevel"/>
    <w:tmpl w:val="749C0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4585079"/>
    <w:multiLevelType w:val="hybridMultilevel"/>
    <w:tmpl w:val="E1DAF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4D781C"/>
    <w:multiLevelType w:val="hybridMultilevel"/>
    <w:tmpl w:val="2AE4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253A98"/>
    <w:multiLevelType w:val="hybridMultilevel"/>
    <w:tmpl w:val="912CE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5E306F"/>
    <w:multiLevelType w:val="hybridMultilevel"/>
    <w:tmpl w:val="9728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7E29FF"/>
    <w:multiLevelType w:val="hybridMultilevel"/>
    <w:tmpl w:val="47C8421A"/>
    <w:lvl w:ilvl="0" w:tplc="4F56E6E6">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DF5857"/>
    <w:multiLevelType w:val="hybridMultilevel"/>
    <w:tmpl w:val="B4407492"/>
    <w:lvl w:ilvl="0" w:tplc="8EA26ADC">
      <w:start w:val="1"/>
      <w:numFmt w:val="bullet"/>
      <w:lvlText w:val=""/>
      <w:lvlJc w:val="left"/>
      <w:pPr>
        <w:tabs>
          <w:tab w:val="num" w:pos="720"/>
        </w:tabs>
        <w:ind w:left="720" w:hanging="360"/>
      </w:pPr>
      <w:rPr>
        <w:rFonts w:ascii="Wingdings" w:hAnsi="Wingdings" w:hint="default"/>
      </w:rPr>
    </w:lvl>
    <w:lvl w:ilvl="1" w:tplc="F6DAC52C" w:tentative="1">
      <w:start w:val="1"/>
      <w:numFmt w:val="bullet"/>
      <w:lvlText w:val=""/>
      <w:lvlJc w:val="left"/>
      <w:pPr>
        <w:tabs>
          <w:tab w:val="num" w:pos="1440"/>
        </w:tabs>
        <w:ind w:left="1440" w:hanging="360"/>
      </w:pPr>
      <w:rPr>
        <w:rFonts w:ascii="Wingdings" w:hAnsi="Wingdings" w:hint="default"/>
      </w:rPr>
    </w:lvl>
    <w:lvl w:ilvl="2" w:tplc="D0701782" w:tentative="1">
      <w:start w:val="1"/>
      <w:numFmt w:val="bullet"/>
      <w:lvlText w:val=""/>
      <w:lvlJc w:val="left"/>
      <w:pPr>
        <w:tabs>
          <w:tab w:val="num" w:pos="2160"/>
        </w:tabs>
        <w:ind w:left="2160" w:hanging="360"/>
      </w:pPr>
      <w:rPr>
        <w:rFonts w:ascii="Wingdings" w:hAnsi="Wingdings" w:hint="default"/>
      </w:rPr>
    </w:lvl>
    <w:lvl w:ilvl="3" w:tplc="38267FE2" w:tentative="1">
      <w:start w:val="1"/>
      <w:numFmt w:val="bullet"/>
      <w:lvlText w:val=""/>
      <w:lvlJc w:val="left"/>
      <w:pPr>
        <w:tabs>
          <w:tab w:val="num" w:pos="2880"/>
        </w:tabs>
        <w:ind w:left="2880" w:hanging="360"/>
      </w:pPr>
      <w:rPr>
        <w:rFonts w:ascii="Wingdings" w:hAnsi="Wingdings" w:hint="default"/>
      </w:rPr>
    </w:lvl>
    <w:lvl w:ilvl="4" w:tplc="9C26E3CA" w:tentative="1">
      <w:start w:val="1"/>
      <w:numFmt w:val="bullet"/>
      <w:lvlText w:val=""/>
      <w:lvlJc w:val="left"/>
      <w:pPr>
        <w:tabs>
          <w:tab w:val="num" w:pos="3600"/>
        </w:tabs>
        <w:ind w:left="3600" w:hanging="360"/>
      </w:pPr>
      <w:rPr>
        <w:rFonts w:ascii="Wingdings" w:hAnsi="Wingdings" w:hint="default"/>
      </w:rPr>
    </w:lvl>
    <w:lvl w:ilvl="5" w:tplc="50DEC914" w:tentative="1">
      <w:start w:val="1"/>
      <w:numFmt w:val="bullet"/>
      <w:lvlText w:val=""/>
      <w:lvlJc w:val="left"/>
      <w:pPr>
        <w:tabs>
          <w:tab w:val="num" w:pos="4320"/>
        </w:tabs>
        <w:ind w:left="4320" w:hanging="360"/>
      </w:pPr>
      <w:rPr>
        <w:rFonts w:ascii="Wingdings" w:hAnsi="Wingdings" w:hint="default"/>
      </w:rPr>
    </w:lvl>
    <w:lvl w:ilvl="6" w:tplc="97504A1A" w:tentative="1">
      <w:start w:val="1"/>
      <w:numFmt w:val="bullet"/>
      <w:lvlText w:val=""/>
      <w:lvlJc w:val="left"/>
      <w:pPr>
        <w:tabs>
          <w:tab w:val="num" w:pos="5040"/>
        </w:tabs>
        <w:ind w:left="5040" w:hanging="360"/>
      </w:pPr>
      <w:rPr>
        <w:rFonts w:ascii="Wingdings" w:hAnsi="Wingdings" w:hint="default"/>
      </w:rPr>
    </w:lvl>
    <w:lvl w:ilvl="7" w:tplc="48347D2C" w:tentative="1">
      <w:start w:val="1"/>
      <w:numFmt w:val="bullet"/>
      <w:lvlText w:val=""/>
      <w:lvlJc w:val="left"/>
      <w:pPr>
        <w:tabs>
          <w:tab w:val="num" w:pos="5760"/>
        </w:tabs>
        <w:ind w:left="5760" w:hanging="360"/>
      </w:pPr>
      <w:rPr>
        <w:rFonts w:ascii="Wingdings" w:hAnsi="Wingdings" w:hint="default"/>
      </w:rPr>
    </w:lvl>
    <w:lvl w:ilvl="8" w:tplc="6F50AC66"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0"/>
  </w:num>
  <w:num w:numId="3">
    <w:abstractNumId w:val="30"/>
  </w:num>
  <w:num w:numId="4">
    <w:abstractNumId w:val="8"/>
  </w:num>
  <w:num w:numId="5">
    <w:abstractNumId w:val="4"/>
  </w:num>
  <w:num w:numId="6">
    <w:abstractNumId w:val="3"/>
  </w:num>
  <w:num w:numId="7">
    <w:abstractNumId w:val="22"/>
  </w:num>
  <w:num w:numId="8">
    <w:abstractNumId w:val="24"/>
  </w:num>
  <w:num w:numId="9">
    <w:abstractNumId w:val="11"/>
  </w:num>
  <w:num w:numId="10">
    <w:abstractNumId w:val="12"/>
  </w:num>
  <w:num w:numId="11">
    <w:abstractNumId w:val="1"/>
  </w:num>
  <w:num w:numId="12">
    <w:abstractNumId w:val="29"/>
  </w:num>
  <w:num w:numId="13">
    <w:abstractNumId w:val="9"/>
  </w:num>
  <w:num w:numId="14">
    <w:abstractNumId w:val="2"/>
  </w:num>
  <w:num w:numId="15">
    <w:abstractNumId w:val="5"/>
  </w:num>
  <w:num w:numId="16">
    <w:abstractNumId w:val="27"/>
  </w:num>
  <w:num w:numId="17">
    <w:abstractNumId w:val="7"/>
  </w:num>
  <w:num w:numId="18">
    <w:abstractNumId w:val="13"/>
  </w:num>
  <w:num w:numId="19">
    <w:abstractNumId w:val="18"/>
  </w:num>
  <w:num w:numId="20">
    <w:abstractNumId w:val="28"/>
  </w:num>
  <w:num w:numId="21">
    <w:abstractNumId w:val="26"/>
  </w:num>
  <w:num w:numId="22">
    <w:abstractNumId w:val="25"/>
  </w:num>
  <w:num w:numId="23">
    <w:abstractNumId w:val="17"/>
  </w:num>
  <w:num w:numId="24">
    <w:abstractNumId w:val="10"/>
  </w:num>
  <w:num w:numId="25">
    <w:abstractNumId w:val="14"/>
  </w:num>
  <w:num w:numId="26">
    <w:abstractNumId w:val="15"/>
  </w:num>
  <w:num w:numId="27">
    <w:abstractNumId w:val="20"/>
  </w:num>
  <w:num w:numId="28">
    <w:abstractNumId w:val="21"/>
  </w:num>
  <w:num w:numId="29">
    <w:abstractNumId w:val="19"/>
  </w:num>
  <w:num w:numId="30">
    <w:abstractNumId w:val="31"/>
  </w:num>
  <w:num w:numId="31">
    <w:abstractNumId w:val="6"/>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486"/>
    <w:rsid w:val="00017F20"/>
    <w:rsid w:val="00031211"/>
    <w:rsid w:val="00041E34"/>
    <w:rsid w:val="00067189"/>
    <w:rsid w:val="0008707E"/>
    <w:rsid w:val="000900D8"/>
    <w:rsid w:val="00093C7A"/>
    <w:rsid w:val="000B5F1D"/>
    <w:rsid w:val="000D1634"/>
    <w:rsid w:val="000D3856"/>
    <w:rsid w:val="000E0586"/>
    <w:rsid w:val="001042D3"/>
    <w:rsid w:val="00115A07"/>
    <w:rsid w:val="00121E6F"/>
    <w:rsid w:val="00132C8E"/>
    <w:rsid w:val="001651DF"/>
    <w:rsid w:val="001805A3"/>
    <w:rsid w:val="001865BD"/>
    <w:rsid w:val="00190295"/>
    <w:rsid w:val="00193CF9"/>
    <w:rsid w:val="001C12B5"/>
    <w:rsid w:val="00234BEC"/>
    <w:rsid w:val="00293828"/>
    <w:rsid w:val="002A002D"/>
    <w:rsid w:val="002B105D"/>
    <w:rsid w:val="002E43DD"/>
    <w:rsid w:val="002E5816"/>
    <w:rsid w:val="003051EB"/>
    <w:rsid w:val="00307BFD"/>
    <w:rsid w:val="00343413"/>
    <w:rsid w:val="003659D9"/>
    <w:rsid w:val="003770B9"/>
    <w:rsid w:val="00380A53"/>
    <w:rsid w:val="00387F05"/>
    <w:rsid w:val="003B1A16"/>
    <w:rsid w:val="003E1350"/>
    <w:rsid w:val="00404BAE"/>
    <w:rsid w:val="004072B7"/>
    <w:rsid w:val="00412352"/>
    <w:rsid w:val="004358B3"/>
    <w:rsid w:val="004417CC"/>
    <w:rsid w:val="004703C2"/>
    <w:rsid w:val="0049796A"/>
    <w:rsid w:val="004B34C3"/>
    <w:rsid w:val="004D508F"/>
    <w:rsid w:val="004E01C7"/>
    <w:rsid w:val="004E651D"/>
    <w:rsid w:val="004F24E5"/>
    <w:rsid w:val="00506729"/>
    <w:rsid w:val="00512664"/>
    <w:rsid w:val="00542C24"/>
    <w:rsid w:val="00542E65"/>
    <w:rsid w:val="00570BAA"/>
    <w:rsid w:val="00572BDE"/>
    <w:rsid w:val="005958D9"/>
    <w:rsid w:val="005A4FCD"/>
    <w:rsid w:val="005A6E34"/>
    <w:rsid w:val="005B31C0"/>
    <w:rsid w:val="005B3DE9"/>
    <w:rsid w:val="005D571D"/>
    <w:rsid w:val="005D7091"/>
    <w:rsid w:val="005F06AE"/>
    <w:rsid w:val="00615EA7"/>
    <w:rsid w:val="00620192"/>
    <w:rsid w:val="00634C66"/>
    <w:rsid w:val="00646BAD"/>
    <w:rsid w:val="00661735"/>
    <w:rsid w:val="00665104"/>
    <w:rsid w:val="006655C1"/>
    <w:rsid w:val="006820C9"/>
    <w:rsid w:val="006A21A2"/>
    <w:rsid w:val="006A343F"/>
    <w:rsid w:val="006B4059"/>
    <w:rsid w:val="006D1645"/>
    <w:rsid w:val="006D2058"/>
    <w:rsid w:val="006E019E"/>
    <w:rsid w:val="0070077F"/>
    <w:rsid w:val="007020B1"/>
    <w:rsid w:val="00715AD7"/>
    <w:rsid w:val="007223CE"/>
    <w:rsid w:val="00751C0F"/>
    <w:rsid w:val="00762E5C"/>
    <w:rsid w:val="00763079"/>
    <w:rsid w:val="00794981"/>
    <w:rsid w:val="007A18EE"/>
    <w:rsid w:val="007A3297"/>
    <w:rsid w:val="007B6660"/>
    <w:rsid w:val="007D6ED6"/>
    <w:rsid w:val="007E67FD"/>
    <w:rsid w:val="007F7452"/>
    <w:rsid w:val="00810184"/>
    <w:rsid w:val="00824B27"/>
    <w:rsid w:val="0083712C"/>
    <w:rsid w:val="0083782B"/>
    <w:rsid w:val="008521EF"/>
    <w:rsid w:val="00853A78"/>
    <w:rsid w:val="00857D02"/>
    <w:rsid w:val="008600C7"/>
    <w:rsid w:val="00863C1D"/>
    <w:rsid w:val="00865FC4"/>
    <w:rsid w:val="008666CE"/>
    <w:rsid w:val="00875155"/>
    <w:rsid w:val="008777B8"/>
    <w:rsid w:val="008B74F1"/>
    <w:rsid w:val="008C144D"/>
    <w:rsid w:val="008C7D37"/>
    <w:rsid w:val="008E27F7"/>
    <w:rsid w:val="00901230"/>
    <w:rsid w:val="009127DE"/>
    <w:rsid w:val="00914213"/>
    <w:rsid w:val="00933392"/>
    <w:rsid w:val="0095070B"/>
    <w:rsid w:val="00975F09"/>
    <w:rsid w:val="00995FBC"/>
    <w:rsid w:val="009D7320"/>
    <w:rsid w:val="00A708B3"/>
    <w:rsid w:val="00A7189B"/>
    <w:rsid w:val="00A808F7"/>
    <w:rsid w:val="00AA2B08"/>
    <w:rsid w:val="00AB0510"/>
    <w:rsid w:val="00AB2160"/>
    <w:rsid w:val="00AD2BDC"/>
    <w:rsid w:val="00AE4C0F"/>
    <w:rsid w:val="00B27337"/>
    <w:rsid w:val="00B30848"/>
    <w:rsid w:val="00B5678D"/>
    <w:rsid w:val="00B809C7"/>
    <w:rsid w:val="00B8124E"/>
    <w:rsid w:val="00BB3E4D"/>
    <w:rsid w:val="00BE2BCD"/>
    <w:rsid w:val="00C01D65"/>
    <w:rsid w:val="00C02041"/>
    <w:rsid w:val="00C20899"/>
    <w:rsid w:val="00C25148"/>
    <w:rsid w:val="00C333DF"/>
    <w:rsid w:val="00C42794"/>
    <w:rsid w:val="00C82A49"/>
    <w:rsid w:val="00CC2486"/>
    <w:rsid w:val="00CE23E3"/>
    <w:rsid w:val="00CE27C9"/>
    <w:rsid w:val="00CE7689"/>
    <w:rsid w:val="00D00E74"/>
    <w:rsid w:val="00D07BE4"/>
    <w:rsid w:val="00D17C22"/>
    <w:rsid w:val="00D20D37"/>
    <w:rsid w:val="00D31C0C"/>
    <w:rsid w:val="00D5579F"/>
    <w:rsid w:val="00D70A6D"/>
    <w:rsid w:val="00D7658A"/>
    <w:rsid w:val="00D86142"/>
    <w:rsid w:val="00D9082E"/>
    <w:rsid w:val="00D921BC"/>
    <w:rsid w:val="00D973C2"/>
    <w:rsid w:val="00DA41FD"/>
    <w:rsid w:val="00DB7C11"/>
    <w:rsid w:val="00DD0855"/>
    <w:rsid w:val="00DE0E3E"/>
    <w:rsid w:val="00DF43ED"/>
    <w:rsid w:val="00E306DB"/>
    <w:rsid w:val="00E41426"/>
    <w:rsid w:val="00E415C6"/>
    <w:rsid w:val="00E82CA7"/>
    <w:rsid w:val="00E8651F"/>
    <w:rsid w:val="00EB3CE7"/>
    <w:rsid w:val="00ED4013"/>
    <w:rsid w:val="00EF3DF5"/>
    <w:rsid w:val="00F0056F"/>
    <w:rsid w:val="00F1132F"/>
    <w:rsid w:val="00F115EB"/>
    <w:rsid w:val="00F27A58"/>
    <w:rsid w:val="00F40143"/>
    <w:rsid w:val="00F442F4"/>
    <w:rsid w:val="00F60BD4"/>
    <w:rsid w:val="00F65A26"/>
    <w:rsid w:val="00F72A84"/>
    <w:rsid w:val="00F8466D"/>
    <w:rsid w:val="00F930C7"/>
    <w:rsid w:val="00FA0576"/>
    <w:rsid w:val="00FE7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2" w:uiPriority="9" w:qFormat="1"/>
    <w:lsdException w:name="Title" w:uiPriority="10" w:qFormat="1"/>
    <w:lsdException w:name="Hyperlink" w:uiPriority="99"/>
    <w:lsdException w:name="Strong" w:uiPriority="22" w:qFormat="1"/>
    <w:lsdException w:name="Table Grid" w:uiPriority="59"/>
    <w:lsdException w:name="List Paragraph" w:uiPriority="34" w:qFormat="1"/>
  </w:latentStyles>
  <w:style w:type="paragraph" w:default="1" w:styleId="Normal">
    <w:name w:val="Normal"/>
    <w:qFormat/>
    <w:rsid w:val="00C20899"/>
    <w:rPr>
      <w:rFonts w:ascii="Cambria" w:eastAsia="Cambria" w:hAnsi="Cambria"/>
      <w:lang w:val="en-US" w:eastAsia="en-US"/>
    </w:rPr>
  </w:style>
  <w:style w:type="paragraph" w:styleId="Heading1">
    <w:name w:val="heading 1"/>
    <w:basedOn w:val="Normal"/>
    <w:next w:val="Normal"/>
    <w:link w:val="Heading1Char"/>
    <w:uiPriority w:val="9"/>
    <w:qFormat/>
    <w:rsid w:val="007B66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4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60BD4"/>
    <w:pPr>
      <w:keepNext/>
      <w:spacing w:before="240" w:after="60"/>
      <w:outlineLvl w:val="2"/>
    </w:pPr>
    <w:rPr>
      <w:rFonts w:ascii="Arial" w:eastAsia="Times New Roman" w:hAnsi="Arial" w:cs="Arial"/>
      <w:b/>
      <w:bCs/>
      <w:sz w:val="26"/>
      <w:szCs w:val="26"/>
      <w:lang w:val="en-GB" w:eastAsia="en-GB"/>
    </w:rPr>
  </w:style>
  <w:style w:type="paragraph" w:styleId="Heading4">
    <w:name w:val="heading 4"/>
    <w:basedOn w:val="Normal"/>
    <w:next w:val="Normal"/>
    <w:link w:val="Heading4Char"/>
    <w:uiPriority w:val="9"/>
    <w:unhideWhenUsed/>
    <w:qFormat/>
    <w:rsid w:val="008B74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wrro">
    <w:name w:val="rwrro"/>
    <w:basedOn w:val="DefaultParagraphFont"/>
    <w:uiPriority w:val="99"/>
    <w:rsid w:val="00CC2486"/>
    <w:rPr>
      <w:rFonts w:cs="Times New Roman"/>
    </w:rPr>
  </w:style>
  <w:style w:type="paragraph" w:styleId="BalloonText">
    <w:name w:val="Balloon Text"/>
    <w:basedOn w:val="Normal"/>
    <w:link w:val="BalloonTextChar"/>
    <w:uiPriority w:val="99"/>
    <w:semiHidden/>
    <w:unhideWhenUsed/>
    <w:rsid w:val="00242054"/>
    <w:rPr>
      <w:rFonts w:ascii="Tahoma" w:hAnsi="Tahoma" w:cs="Tahoma"/>
      <w:sz w:val="16"/>
      <w:szCs w:val="16"/>
    </w:rPr>
  </w:style>
  <w:style w:type="character" w:customStyle="1" w:styleId="BalloonTextChar">
    <w:name w:val="Balloon Text Char"/>
    <w:basedOn w:val="DefaultParagraphFont"/>
    <w:link w:val="BalloonText"/>
    <w:uiPriority w:val="99"/>
    <w:semiHidden/>
    <w:rsid w:val="00242054"/>
    <w:rPr>
      <w:rFonts w:ascii="Tahoma" w:eastAsia="Cambria" w:hAnsi="Tahoma" w:cs="Tahoma"/>
      <w:sz w:val="16"/>
      <w:szCs w:val="16"/>
    </w:rPr>
  </w:style>
  <w:style w:type="paragraph" w:styleId="ListParagraph">
    <w:name w:val="List Paragraph"/>
    <w:basedOn w:val="Normal"/>
    <w:uiPriority w:val="34"/>
    <w:qFormat/>
    <w:rsid w:val="00512664"/>
    <w:pPr>
      <w:ind w:left="720"/>
      <w:contextualSpacing/>
    </w:pPr>
  </w:style>
  <w:style w:type="character" w:customStyle="1" w:styleId="Heading3Char">
    <w:name w:val="Heading 3 Char"/>
    <w:basedOn w:val="DefaultParagraphFont"/>
    <w:link w:val="Heading3"/>
    <w:rsid w:val="00F60BD4"/>
    <w:rPr>
      <w:rFonts w:ascii="Arial" w:eastAsia="Times New Roman" w:hAnsi="Arial" w:cs="Arial"/>
      <w:b/>
      <w:bCs/>
      <w:sz w:val="26"/>
      <w:szCs w:val="26"/>
    </w:rPr>
  </w:style>
  <w:style w:type="paragraph" w:styleId="Header">
    <w:name w:val="header"/>
    <w:basedOn w:val="Normal"/>
    <w:link w:val="HeaderChar"/>
    <w:uiPriority w:val="99"/>
    <w:semiHidden/>
    <w:unhideWhenUsed/>
    <w:rsid w:val="00F442F4"/>
    <w:pPr>
      <w:tabs>
        <w:tab w:val="center" w:pos="4513"/>
        <w:tab w:val="right" w:pos="9026"/>
      </w:tabs>
    </w:pPr>
  </w:style>
  <w:style w:type="character" w:customStyle="1" w:styleId="HeaderChar">
    <w:name w:val="Header Char"/>
    <w:basedOn w:val="DefaultParagraphFont"/>
    <w:link w:val="Header"/>
    <w:uiPriority w:val="99"/>
    <w:semiHidden/>
    <w:rsid w:val="00F442F4"/>
    <w:rPr>
      <w:rFonts w:ascii="Cambria" w:eastAsia="Cambria" w:hAnsi="Cambria"/>
      <w:sz w:val="24"/>
      <w:szCs w:val="24"/>
      <w:lang w:val="en-US" w:eastAsia="en-US"/>
    </w:rPr>
  </w:style>
  <w:style w:type="paragraph" w:styleId="Footer">
    <w:name w:val="footer"/>
    <w:basedOn w:val="Normal"/>
    <w:link w:val="FooterChar"/>
    <w:uiPriority w:val="99"/>
    <w:semiHidden/>
    <w:unhideWhenUsed/>
    <w:rsid w:val="00F442F4"/>
    <w:pPr>
      <w:tabs>
        <w:tab w:val="center" w:pos="4513"/>
        <w:tab w:val="right" w:pos="9026"/>
      </w:tabs>
    </w:pPr>
  </w:style>
  <w:style w:type="character" w:customStyle="1" w:styleId="FooterChar">
    <w:name w:val="Footer Char"/>
    <w:basedOn w:val="DefaultParagraphFont"/>
    <w:link w:val="Footer"/>
    <w:uiPriority w:val="99"/>
    <w:semiHidden/>
    <w:rsid w:val="00F442F4"/>
    <w:rPr>
      <w:rFonts w:ascii="Cambria" w:eastAsia="Cambria" w:hAnsi="Cambria"/>
      <w:sz w:val="24"/>
      <w:szCs w:val="24"/>
      <w:lang w:val="en-US" w:eastAsia="en-US"/>
    </w:rPr>
  </w:style>
  <w:style w:type="character" w:styleId="Hyperlink">
    <w:name w:val="Hyperlink"/>
    <w:basedOn w:val="DefaultParagraphFont"/>
    <w:uiPriority w:val="99"/>
    <w:unhideWhenUsed/>
    <w:rsid w:val="005D7091"/>
    <w:rPr>
      <w:color w:val="0000FF" w:themeColor="hyperlink"/>
      <w:u w:val="single"/>
    </w:rPr>
  </w:style>
  <w:style w:type="character" w:customStyle="1" w:styleId="Heading1Char">
    <w:name w:val="Heading 1 Char"/>
    <w:basedOn w:val="DefaultParagraphFont"/>
    <w:link w:val="Heading1"/>
    <w:uiPriority w:val="9"/>
    <w:rsid w:val="007B6660"/>
    <w:rPr>
      <w:rFonts w:asciiTheme="majorHAnsi" w:eastAsiaTheme="majorEastAsia" w:hAnsiTheme="majorHAnsi" w:cstheme="majorBidi"/>
      <w:b/>
      <w:bCs/>
      <w:color w:val="365F91" w:themeColor="accent1" w:themeShade="BF"/>
      <w:sz w:val="28"/>
      <w:szCs w:val="28"/>
      <w:lang w:val="en-US" w:eastAsia="en-US"/>
    </w:rPr>
  </w:style>
  <w:style w:type="paragraph" w:styleId="BodyText2">
    <w:name w:val="Body Text 2"/>
    <w:basedOn w:val="Normal"/>
    <w:link w:val="BodyText2Char"/>
    <w:rsid w:val="008B74F1"/>
    <w:pPr>
      <w:tabs>
        <w:tab w:val="left" w:pos="720"/>
      </w:tabs>
      <w:ind w:left="360"/>
    </w:pPr>
    <w:rPr>
      <w:rFonts w:ascii="Arial" w:eastAsia="Times New Roman" w:hAnsi="Arial" w:cs="Arial"/>
      <w:snapToGrid w:val="0"/>
      <w:szCs w:val="20"/>
      <w:lang w:val="en-GB"/>
    </w:rPr>
  </w:style>
  <w:style w:type="character" w:customStyle="1" w:styleId="BodyText2Char">
    <w:name w:val="Body Text 2 Char"/>
    <w:basedOn w:val="DefaultParagraphFont"/>
    <w:link w:val="BodyText2"/>
    <w:rsid w:val="008B74F1"/>
    <w:rPr>
      <w:rFonts w:ascii="Arial" w:eastAsia="Times New Roman" w:hAnsi="Arial" w:cs="Arial"/>
      <w:snapToGrid w:val="0"/>
      <w:sz w:val="24"/>
      <w:lang w:eastAsia="en-US"/>
    </w:rPr>
  </w:style>
  <w:style w:type="character" w:customStyle="1" w:styleId="Heading4Char">
    <w:name w:val="Heading 4 Char"/>
    <w:basedOn w:val="DefaultParagraphFont"/>
    <w:link w:val="Heading4"/>
    <w:uiPriority w:val="9"/>
    <w:rsid w:val="008B74F1"/>
    <w:rPr>
      <w:rFonts w:asciiTheme="majorHAnsi" w:eastAsiaTheme="majorEastAsia" w:hAnsiTheme="majorHAnsi" w:cstheme="majorBidi"/>
      <w:b/>
      <w:bCs/>
      <w:i/>
      <w:iCs/>
      <w:color w:val="4F81BD" w:themeColor="accent1"/>
      <w:sz w:val="24"/>
      <w:szCs w:val="24"/>
      <w:lang w:val="en-US" w:eastAsia="en-US"/>
    </w:rPr>
  </w:style>
  <w:style w:type="character" w:customStyle="1" w:styleId="Heading2Char">
    <w:name w:val="Heading 2 Char"/>
    <w:basedOn w:val="DefaultParagraphFont"/>
    <w:link w:val="Heading2"/>
    <w:uiPriority w:val="9"/>
    <w:rsid w:val="008B74F1"/>
    <w:rPr>
      <w:rFonts w:asciiTheme="majorHAnsi" w:eastAsiaTheme="majorEastAsia" w:hAnsiTheme="majorHAnsi" w:cstheme="majorBidi"/>
      <w:b/>
      <w:bCs/>
      <w:color w:val="4F81BD" w:themeColor="accent1"/>
      <w:sz w:val="26"/>
      <w:szCs w:val="26"/>
      <w:lang w:val="en-US" w:eastAsia="en-US"/>
    </w:rPr>
  </w:style>
  <w:style w:type="character" w:styleId="PageNumber">
    <w:name w:val="page number"/>
    <w:basedOn w:val="DefaultParagraphFont"/>
    <w:uiPriority w:val="99"/>
    <w:semiHidden/>
    <w:unhideWhenUsed/>
    <w:rsid w:val="006655C1"/>
  </w:style>
  <w:style w:type="character" w:styleId="FollowedHyperlink">
    <w:name w:val="FollowedHyperlink"/>
    <w:basedOn w:val="DefaultParagraphFont"/>
    <w:uiPriority w:val="99"/>
    <w:rsid w:val="00715AD7"/>
    <w:rPr>
      <w:color w:val="993366"/>
      <w:u w:val="single"/>
    </w:rPr>
  </w:style>
  <w:style w:type="paragraph" w:customStyle="1" w:styleId="font5">
    <w:name w:val="font5"/>
    <w:basedOn w:val="Normal"/>
    <w:rsid w:val="00715AD7"/>
    <w:pPr>
      <w:spacing w:beforeLines="1" w:afterLines="1"/>
    </w:pPr>
    <w:rPr>
      <w:rFonts w:ascii="Verdana" w:eastAsia="Calibri" w:hAnsi="Verdana"/>
      <w:sz w:val="16"/>
      <w:szCs w:val="16"/>
      <w:lang w:val="en-GB"/>
    </w:rPr>
  </w:style>
  <w:style w:type="paragraph" w:customStyle="1" w:styleId="xl25">
    <w:name w:val="xl25"/>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26">
    <w:name w:val="xl26"/>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eastAsia="Calibri" w:hAnsi="Arial"/>
      <w:sz w:val="20"/>
      <w:szCs w:val="20"/>
      <w:lang w:val="en-GB"/>
    </w:rPr>
  </w:style>
  <w:style w:type="paragraph" w:customStyle="1" w:styleId="xl27">
    <w:name w:val="xl27"/>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textAlignment w:val="top"/>
    </w:pPr>
    <w:rPr>
      <w:rFonts w:ascii="Arial" w:eastAsia="Calibri" w:hAnsi="Arial"/>
      <w:sz w:val="20"/>
      <w:szCs w:val="20"/>
      <w:lang w:val="en-GB"/>
    </w:rPr>
  </w:style>
  <w:style w:type="paragraph" w:customStyle="1" w:styleId="xl28">
    <w:name w:val="xl28"/>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29">
    <w:name w:val="xl29"/>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30">
    <w:name w:val="xl30"/>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Times" w:eastAsia="Calibri" w:hAnsi="Times"/>
      <w:sz w:val="20"/>
      <w:szCs w:val="20"/>
      <w:lang w:val="en-GB"/>
    </w:rPr>
  </w:style>
  <w:style w:type="paragraph" w:customStyle="1" w:styleId="xl31">
    <w:name w:val="xl31"/>
    <w:basedOn w:val="Normal"/>
    <w:rsid w:val="00715AD7"/>
    <w:pPr>
      <w:pBdr>
        <w:top w:val="single" w:sz="4" w:space="0" w:color="auto"/>
        <w:bottom w:val="single" w:sz="4" w:space="0" w:color="auto"/>
        <w:right w:val="single" w:sz="4" w:space="0" w:color="auto"/>
      </w:pBdr>
      <w:spacing w:beforeLines="1" w:afterLines="1"/>
    </w:pPr>
    <w:rPr>
      <w:rFonts w:ascii="Times" w:eastAsia="Calibri" w:hAnsi="Times"/>
      <w:sz w:val="20"/>
      <w:szCs w:val="20"/>
      <w:lang w:val="en-GB"/>
    </w:rPr>
  </w:style>
  <w:style w:type="paragraph" w:customStyle="1" w:styleId="xl32">
    <w:name w:val="xl32"/>
    <w:basedOn w:val="Normal"/>
    <w:rsid w:val="00715AD7"/>
    <w:pPr>
      <w:pBdr>
        <w:top w:val="single" w:sz="4" w:space="0" w:color="auto"/>
        <w:left w:val="single" w:sz="4" w:space="0" w:color="auto"/>
        <w:bottom w:val="single" w:sz="4" w:space="0" w:color="auto"/>
        <w:right w:val="single" w:sz="4" w:space="0" w:color="auto"/>
      </w:pBdr>
      <w:shd w:val="clear" w:color="auto" w:fill="FCF305"/>
      <w:spacing w:beforeLines="1" w:afterLines="1"/>
    </w:pPr>
    <w:rPr>
      <w:rFonts w:ascii="Arial" w:eastAsia="Calibri" w:hAnsi="Arial"/>
      <w:b/>
      <w:bCs/>
      <w:sz w:val="20"/>
      <w:szCs w:val="20"/>
      <w:lang w:val="en-GB"/>
    </w:rPr>
  </w:style>
  <w:style w:type="paragraph" w:customStyle="1" w:styleId="xl33">
    <w:name w:val="xl33"/>
    <w:basedOn w:val="Normal"/>
    <w:rsid w:val="00715AD7"/>
    <w:pPr>
      <w:shd w:val="clear" w:color="auto" w:fill="FCF305"/>
      <w:spacing w:beforeLines="1" w:afterLines="1"/>
    </w:pPr>
    <w:rPr>
      <w:rFonts w:ascii="Times" w:eastAsia="Calibri" w:hAnsi="Times"/>
      <w:sz w:val="20"/>
      <w:szCs w:val="20"/>
      <w:lang w:val="en-GB"/>
    </w:rPr>
  </w:style>
  <w:style w:type="paragraph" w:customStyle="1" w:styleId="xl34">
    <w:name w:val="xl34"/>
    <w:basedOn w:val="Normal"/>
    <w:rsid w:val="00715AD7"/>
    <w:pPr>
      <w:spacing w:beforeLines="1" w:afterLines="1"/>
    </w:pPr>
    <w:rPr>
      <w:rFonts w:ascii="Calibri" w:eastAsia="Calibri" w:hAnsi="Calibri"/>
      <w:sz w:val="20"/>
      <w:szCs w:val="20"/>
      <w:lang w:val="en-GB"/>
    </w:rPr>
  </w:style>
  <w:style w:type="paragraph" w:customStyle="1" w:styleId="xl35">
    <w:name w:val="xl35"/>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Calibri" w:eastAsia="Calibri" w:hAnsi="Calibri"/>
      <w:sz w:val="20"/>
      <w:szCs w:val="20"/>
      <w:lang w:val="en-GB"/>
    </w:rPr>
  </w:style>
  <w:style w:type="paragraph" w:customStyle="1" w:styleId="xl36">
    <w:name w:val="xl36"/>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Calibri" w:eastAsia="Calibri" w:hAnsi="Calibri"/>
      <w:sz w:val="20"/>
      <w:szCs w:val="20"/>
      <w:lang w:val="en-GB"/>
    </w:rPr>
  </w:style>
  <w:style w:type="character" w:styleId="Strong">
    <w:name w:val="Strong"/>
    <w:basedOn w:val="DefaultParagraphFont"/>
    <w:uiPriority w:val="22"/>
    <w:qFormat/>
    <w:rsid w:val="00661735"/>
    <w:rPr>
      <w:b/>
      <w:bCs/>
    </w:rPr>
  </w:style>
  <w:style w:type="character" w:customStyle="1" w:styleId="slug-pop-date">
    <w:name w:val="slug-pop-date"/>
    <w:basedOn w:val="DefaultParagraphFont"/>
    <w:rsid w:val="00B5678D"/>
  </w:style>
  <w:style w:type="character" w:customStyle="1" w:styleId="pop-slug">
    <w:name w:val="pop-slug"/>
    <w:basedOn w:val="DefaultParagraphFont"/>
    <w:rsid w:val="00B5678D"/>
  </w:style>
  <w:style w:type="paragraph" w:customStyle="1" w:styleId="Default">
    <w:name w:val="Default"/>
    <w:rsid w:val="007D6ED6"/>
    <w:pPr>
      <w:autoSpaceDE w:val="0"/>
      <w:autoSpaceDN w:val="0"/>
      <w:adjustRightInd w:val="0"/>
    </w:pPr>
    <w:rPr>
      <w:rFonts w:ascii="Arial" w:hAnsi="Arial" w:cs="Arial"/>
      <w:color w:val="000000"/>
    </w:rPr>
  </w:style>
  <w:style w:type="table" w:styleId="TableGrid">
    <w:name w:val="Table Grid"/>
    <w:basedOn w:val="TableNormal"/>
    <w:uiPriority w:val="59"/>
    <w:rsid w:val="00BB3E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E05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0E0586"/>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2" w:uiPriority="9" w:qFormat="1"/>
    <w:lsdException w:name="Title" w:uiPriority="10" w:qFormat="1"/>
    <w:lsdException w:name="Hyperlink" w:uiPriority="99"/>
    <w:lsdException w:name="Strong" w:uiPriority="22" w:qFormat="1"/>
    <w:lsdException w:name="Table Grid" w:uiPriority="59"/>
    <w:lsdException w:name="List Paragraph" w:uiPriority="34" w:qFormat="1"/>
  </w:latentStyles>
  <w:style w:type="paragraph" w:default="1" w:styleId="Normal">
    <w:name w:val="Normal"/>
    <w:qFormat/>
    <w:rsid w:val="00C20899"/>
    <w:rPr>
      <w:rFonts w:ascii="Cambria" w:eastAsia="Cambria" w:hAnsi="Cambria"/>
      <w:lang w:val="en-US" w:eastAsia="en-US"/>
    </w:rPr>
  </w:style>
  <w:style w:type="paragraph" w:styleId="Heading1">
    <w:name w:val="heading 1"/>
    <w:basedOn w:val="Normal"/>
    <w:next w:val="Normal"/>
    <w:link w:val="Heading1Char"/>
    <w:uiPriority w:val="9"/>
    <w:qFormat/>
    <w:rsid w:val="007B66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4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60BD4"/>
    <w:pPr>
      <w:keepNext/>
      <w:spacing w:before="240" w:after="60"/>
      <w:outlineLvl w:val="2"/>
    </w:pPr>
    <w:rPr>
      <w:rFonts w:ascii="Arial" w:eastAsia="Times New Roman" w:hAnsi="Arial" w:cs="Arial"/>
      <w:b/>
      <w:bCs/>
      <w:sz w:val="26"/>
      <w:szCs w:val="26"/>
      <w:lang w:val="en-GB" w:eastAsia="en-GB"/>
    </w:rPr>
  </w:style>
  <w:style w:type="paragraph" w:styleId="Heading4">
    <w:name w:val="heading 4"/>
    <w:basedOn w:val="Normal"/>
    <w:next w:val="Normal"/>
    <w:link w:val="Heading4Char"/>
    <w:uiPriority w:val="9"/>
    <w:unhideWhenUsed/>
    <w:qFormat/>
    <w:rsid w:val="008B74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wrro">
    <w:name w:val="rwrro"/>
    <w:basedOn w:val="DefaultParagraphFont"/>
    <w:uiPriority w:val="99"/>
    <w:rsid w:val="00CC2486"/>
    <w:rPr>
      <w:rFonts w:cs="Times New Roman"/>
    </w:rPr>
  </w:style>
  <w:style w:type="paragraph" w:styleId="BalloonText">
    <w:name w:val="Balloon Text"/>
    <w:basedOn w:val="Normal"/>
    <w:link w:val="BalloonTextChar"/>
    <w:uiPriority w:val="99"/>
    <w:semiHidden/>
    <w:unhideWhenUsed/>
    <w:rsid w:val="00242054"/>
    <w:rPr>
      <w:rFonts w:ascii="Tahoma" w:hAnsi="Tahoma" w:cs="Tahoma"/>
      <w:sz w:val="16"/>
      <w:szCs w:val="16"/>
    </w:rPr>
  </w:style>
  <w:style w:type="character" w:customStyle="1" w:styleId="BalloonTextChar">
    <w:name w:val="Balloon Text Char"/>
    <w:basedOn w:val="DefaultParagraphFont"/>
    <w:link w:val="BalloonText"/>
    <w:uiPriority w:val="99"/>
    <w:semiHidden/>
    <w:rsid w:val="00242054"/>
    <w:rPr>
      <w:rFonts w:ascii="Tahoma" w:eastAsia="Cambria" w:hAnsi="Tahoma" w:cs="Tahoma"/>
      <w:sz w:val="16"/>
      <w:szCs w:val="16"/>
    </w:rPr>
  </w:style>
  <w:style w:type="paragraph" w:styleId="ListParagraph">
    <w:name w:val="List Paragraph"/>
    <w:basedOn w:val="Normal"/>
    <w:uiPriority w:val="34"/>
    <w:qFormat/>
    <w:rsid w:val="00512664"/>
    <w:pPr>
      <w:ind w:left="720"/>
      <w:contextualSpacing/>
    </w:pPr>
  </w:style>
  <w:style w:type="character" w:customStyle="1" w:styleId="Heading3Char">
    <w:name w:val="Heading 3 Char"/>
    <w:basedOn w:val="DefaultParagraphFont"/>
    <w:link w:val="Heading3"/>
    <w:rsid w:val="00F60BD4"/>
    <w:rPr>
      <w:rFonts w:ascii="Arial" w:eastAsia="Times New Roman" w:hAnsi="Arial" w:cs="Arial"/>
      <w:b/>
      <w:bCs/>
      <w:sz w:val="26"/>
      <w:szCs w:val="26"/>
    </w:rPr>
  </w:style>
  <w:style w:type="paragraph" w:styleId="Header">
    <w:name w:val="header"/>
    <w:basedOn w:val="Normal"/>
    <w:link w:val="HeaderChar"/>
    <w:uiPriority w:val="99"/>
    <w:semiHidden/>
    <w:unhideWhenUsed/>
    <w:rsid w:val="00F442F4"/>
    <w:pPr>
      <w:tabs>
        <w:tab w:val="center" w:pos="4513"/>
        <w:tab w:val="right" w:pos="9026"/>
      </w:tabs>
    </w:pPr>
  </w:style>
  <w:style w:type="character" w:customStyle="1" w:styleId="HeaderChar">
    <w:name w:val="Header Char"/>
    <w:basedOn w:val="DefaultParagraphFont"/>
    <w:link w:val="Header"/>
    <w:uiPriority w:val="99"/>
    <w:semiHidden/>
    <w:rsid w:val="00F442F4"/>
    <w:rPr>
      <w:rFonts w:ascii="Cambria" w:eastAsia="Cambria" w:hAnsi="Cambria"/>
      <w:sz w:val="24"/>
      <w:szCs w:val="24"/>
      <w:lang w:val="en-US" w:eastAsia="en-US"/>
    </w:rPr>
  </w:style>
  <w:style w:type="paragraph" w:styleId="Footer">
    <w:name w:val="footer"/>
    <w:basedOn w:val="Normal"/>
    <w:link w:val="FooterChar"/>
    <w:uiPriority w:val="99"/>
    <w:semiHidden/>
    <w:unhideWhenUsed/>
    <w:rsid w:val="00F442F4"/>
    <w:pPr>
      <w:tabs>
        <w:tab w:val="center" w:pos="4513"/>
        <w:tab w:val="right" w:pos="9026"/>
      </w:tabs>
    </w:pPr>
  </w:style>
  <w:style w:type="character" w:customStyle="1" w:styleId="FooterChar">
    <w:name w:val="Footer Char"/>
    <w:basedOn w:val="DefaultParagraphFont"/>
    <w:link w:val="Footer"/>
    <w:uiPriority w:val="99"/>
    <w:semiHidden/>
    <w:rsid w:val="00F442F4"/>
    <w:rPr>
      <w:rFonts w:ascii="Cambria" w:eastAsia="Cambria" w:hAnsi="Cambria"/>
      <w:sz w:val="24"/>
      <w:szCs w:val="24"/>
      <w:lang w:val="en-US" w:eastAsia="en-US"/>
    </w:rPr>
  </w:style>
  <w:style w:type="character" w:styleId="Hyperlink">
    <w:name w:val="Hyperlink"/>
    <w:basedOn w:val="DefaultParagraphFont"/>
    <w:uiPriority w:val="99"/>
    <w:unhideWhenUsed/>
    <w:rsid w:val="005D7091"/>
    <w:rPr>
      <w:color w:val="0000FF" w:themeColor="hyperlink"/>
      <w:u w:val="single"/>
    </w:rPr>
  </w:style>
  <w:style w:type="character" w:customStyle="1" w:styleId="Heading1Char">
    <w:name w:val="Heading 1 Char"/>
    <w:basedOn w:val="DefaultParagraphFont"/>
    <w:link w:val="Heading1"/>
    <w:uiPriority w:val="9"/>
    <w:rsid w:val="007B6660"/>
    <w:rPr>
      <w:rFonts w:asciiTheme="majorHAnsi" w:eastAsiaTheme="majorEastAsia" w:hAnsiTheme="majorHAnsi" w:cstheme="majorBidi"/>
      <w:b/>
      <w:bCs/>
      <w:color w:val="365F91" w:themeColor="accent1" w:themeShade="BF"/>
      <w:sz w:val="28"/>
      <w:szCs w:val="28"/>
      <w:lang w:val="en-US" w:eastAsia="en-US"/>
    </w:rPr>
  </w:style>
  <w:style w:type="paragraph" w:styleId="BodyText2">
    <w:name w:val="Body Text 2"/>
    <w:basedOn w:val="Normal"/>
    <w:link w:val="BodyText2Char"/>
    <w:rsid w:val="008B74F1"/>
    <w:pPr>
      <w:tabs>
        <w:tab w:val="left" w:pos="720"/>
      </w:tabs>
      <w:ind w:left="360"/>
    </w:pPr>
    <w:rPr>
      <w:rFonts w:ascii="Arial" w:eastAsia="Times New Roman" w:hAnsi="Arial" w:cs="Arial"/>
      <w:snapToGrid w:val="0"/>
      <w:szCs w:val="20"/>
      <w:lang w:val="en-GB"/>
    </w:rPr>
  </w:style>
  <w:style w:type="character" w:customStyle="1" w:styleId="BodyText2Char">
    <w:name w:val="Body Text 2 Char"/>
    <w:basedOn w:val="DefaultParagraphFont"/>
    <w:link w:val="BodyText2"/>
    <w:rsid w:val="008B74F1"/>
    <w:rPr>
      <w:rFonts w:ascii="Arial" w:eastAsia="Times New Roman" w:hAnsi="Arial" w:cs="Arial"/>
      <w:snapToGrid w:val="0"/>
      <w:sz w:val="24"/>
      <w:lang w:eastAsia="en-US"/>
    </w:rPr>
  </w:style>
  <w:style w:type="character" w:customStyle="1" w:styleId="Heading4Char">
    <w:name w:val="Heading 4 Char"/>
    <w:basedOn w:val="DefaultParagraphFont"/>
    <w:link w:val="Heading4"/>
    <w:uiPriority w:val="9"/>
    <w:rsid w:val="008B74F1"/>
    <w:rPr>
      <w:rFonts w:asciiTheme="majorHAnsi" w:eastAsiaTheme="majorEastAsia" w:hAnsiTheme="majorHAnsi" w:cstheme="majorBidi"/>
      <w:b/>
      <w:bCs/>
      <w:i/>
      <w:iCs/>
      <w:color w:val="4F81BD" w:themeColor="accent1"/>
      <w:sz w:val="24"/>
      <w:szCs w:val="24"/>
      <w:lang w:val="en-US" w:eastAsia="en-US"/>
    </w:rPr>
  </w:style>
  <w:style w:type="character" w:customStyle="1" w:styleId="Heading2Char">
    <w:name w:val="Heading 2 Char"/>
    <w:basedOn w:val="DefaultParagraphFont"/>
    <w:link w:val="Heading2"/>
    <w:uiPriority w:val="9"/>
    <w:rsid w:val="008B74F1"/>
    <w:rPr>
      <w:rFonts w:asciiTheme="majorHAnsi" w:eastAsiaTheme="majorEastAsia" w:hAnsiTheme="majorHAnsi" w:cstheme="majorBidi"/>
      <w:b/>
      <w:bCs/>
      <w:color w:val="4F81BD" w:themeColor="accent1"/>
      <w:sz w:val="26"/>
      <w:szCs w:val="26"/>
      <w:lang w:val="en-US" w:eastAsia="en-US"/>
    </w:rPr>
  </w:style>
  <w:style w:type="character" w:styleId="PageNumber">
    <w:name w:val="page number"/>
    <w:basedOn w:val="DefaultParagraphFont"/>
    <w:uiPriority w:val="99"/>
    <w:semiHidden/>
    <w:unhideWhenUsed/>
    <w:rsid w:val="006655C1"/>
  </w:style>
  <w:style w:type="character" w:styleId="FollowedHyperlink">
    <w:name w:val="FollowedHyperlink"/>
    <w:basedOn w:val="DefaultParagraphFont"/>
    <w:uiPriority w:val="99"/>
    <w:rsid w:val="00715AD7"/>
    <w:rPr>
      <w:color w:val="993366"/>
      <w:u w:val="single"/>
    </w:rPr>
  </w:style>
  <w:style w:type="paragraph" w:customStyle="1" w:styleId="font5">
    <w:name w:val="font5"/>
    <w:basedOn w:val="Normal"/>
    <w:rsid w:val="00715AD7"/>
    <w:pPr>
      <w:spacing w:beforeLines="1" w:afterLines="1"/>
    </w:pPr>
    <w:rPr>
      <w:rFonts w:ascii="Verdana" w:eastAsia="Calibri" w:hAnsi="Verdana"/>
      <w:sz w:val="16"/>
      <w:szCs w:val="16"/>
      <w:lang w:val="en-GB"/>
    </w:rPr>
  </w:style>
  <w:style w:type="paragraph" w:customStyle="1" w:styleId="xl25">
    <w:name w:val="xl25"/>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26">
    <w:name w:val="xl26"/>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eastAsia="Calibri" w:hAnsi="Arial"/>
      <w:sz w:val="20"/>
      <w:szCs w:val="20"/>
      <w:lang w:val="en-GB"/>
    </w:rPr>
  </w:style>
  <w:style w:type="paragraph" w:customStyle="1" w:styleId="xl27">
    <w:name w:val="xl27"/>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textAlignment w:val="top"/>
    </w:pPr>
    <w:rPr>
      <w:rFonts w:ascii="Arial" w:eastAsia="Calibri" w:hAnsi="Arial"/>
      <w:sz w:val="20"/>
      <w:szCs w:val="20"/>
      <w:lang w:val="en-GB"/>
    </w:rPr>
  </w:style>
  <w:style w:type="paragraph" w:customStyle="1" w:styleId="xl28">
    <w:name w:val="xl28"/>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29">
    <w:name w:val="xl29"/>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Arial" w:eastAsia="Calibri" w:hAnsi="Arial"/>
      <w:sz w:val="20"/>
      <w:szCs w:val="20"/>
      <w:lang w:val="en-GB"/>
    </w:rPr>
  </w:style>
  <w:style w:type="paragraph" w:customStyle="1" w:styleId="xl30">
    <w:name w:val="xl30"/>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Times" w:eastAsia="Calibri" w:hAnsi="Times"/>
      <w:sz w:val="20"/>
      <w:szCs w:val="20"/>
      <w:lang w:val="en-GB"/>
    </w:rPr>
  </w:style>
  <w:style w:type="paragraph" w:customStyle="1" w:styleId="xl31">
    <w:name w:val="xl31"/>
    <w:basedOn w:val="Normal"/>
    <w:rsid w:val="00715AD7"/>
    <w:pPr>
      <w:pBdr>
        <w:top w:val="single" w:sz="4" w:space="0" w:color="auto"/>
        <w:bottom w:val="single" w:sz="4" w:space="0" w:color="auto"/>
        <w:right w:val="single" w:sz="4" w:space="0" w:color="auto"/>
      </w:pBdr>
      <w:spacing w:beforeLines="1" w:afterLines="1"/>
    </w:pPr>
    <w:rPr>
      <w:rFonts w:ascii="Times" w:eastAsia="Calibri" w:hAnsi="Times"/>
      <w:sz w:val="20"/>
      <w:szCs w:val="20"/>
      <w:lang w:val="en-GB"/>
    </w:rPr>
  </w:style>
  <w:style w:type="paragraph" w:customStyle="1" w:styleId="xl32">
    <w:name w:val="xl32"/>
    <w:basedOn w:val="Normal"/>
    <w:rsid w:val="00715AD7"/>
    <w:pPr>
      <w:pBdr>
        <w:top w:val="single" w:sz="4" w:space="0" w:color="auto"/>
        <w:left w:val="single" w:sz="4" w:space="0" w:color="auto"/>
        <w:bottom w:val="single" w:sz="4" w:space="0" w:color="auto"/>
        <w:right w:val="single" w:sz="4" w:space="0" w:color="auto"/>
      </w:pBdr>
      <w:shd w:val="clear" w:color="auto" w:fill="FCF305"/>
      <w:spacing w:beforeLines="1" w:afterLines="1"/>
    </w:pPr>
    <w:rPr>
      <w:rFonts w:ascii="Arial" w:eastAsia="Calibri" w:hAnsi="Arial"/>
      <w:b/>
      <w:bCs/>
      <w:sz w:val="20"/>
      <w:szCs w:val="20"/>
      <w:lang w:val="en-GB"/>
    </w:rPr>
  </w:style>
  <w:style w:type="paragraph" w:customStyle="1" w:styleId="xl33">
    <w:name w:val="xl33"/>
    <w:basedOn w:val="Normal"/>
    <w:rsid w:val="00715AD7"/>
    <w:pPr>
      <w:shd w:val="clear" w:color="auto" w:fill="FCF305"/>
      <w:spacing w:beforeLines="1" w:afterLines="1"/>
    </w:pPr>
    <w:rPr>
      <w:rFonts w:ascii="Times" w:eastAsia="Calibri" w:hAnsi="Times"/>
      <w:sz w:val="20"/>
      <w:szCs w:val="20"/>
      <w:lang w:val="en-GB"/>
    </w:rPr>
  </w:style>
  <w:style w:type="paragraph" w:customStyle="1" w:styleId="xl34">
    <w:name w:val="xl34"/>
    <w:basedOn w:val="Normal"/>
    <w:rsid w:val="00715AD7"/>
    <w:pPr>
      <w:spacing w:beforeLines="1" w:afterLines="1"/>
    </w:pPr>
    <w:rPr>
      <w:rFonts w:ascii="Calibri" w:eastAsia="Calibri" w:hAnsi="Calibri"/>
      <w:sz w:val="20"/>
      <w:szCs w:val="20"/>
      <w:lang w:val="en-GB"/>
    </w:rPr>
  </w:style>
  <w:style w:type="paragraph" w:customStyle="1" w:styleId="xl35">
    <w:name w:val="xl35"/>
    <w:basedOn w:val="Normal"/>
    <w:rsid w:val="00715AD7"/>
    <w:pPr>
      <w:pBdr>
        <w:top w:val="single" w:sz="4" w:space="0" w:color="auto"/>
        <w:left w:val="single" w:sz="4" w:space="0" w:color="auto"/>
        <w:bottom w:val="single" w:sz="4" w:space="0" w:color="auto"/>
        <w:right w:val="single" w:sz="4" w:space="0" w:color="auto"/>
      </w:pBdr>
      <w:spacing w:beforeLines="1" w:afterLines="1"/>
    </w:pPr>
    <w:rPr>
      <w:rFonts w:ascii="Calibri" w:eastAsia="Calibri" w:hAnsi="Calibri"/>
      <w:sz w:val="20"/>
      <w:szCs w:val="20"/>
      <w:lang w:val="en-GB"/>
    </w:rPr>
  </w:style>
  <w:style w:type="paragraph" w:customStyle="1" w:styleId="xl36">
    <w:name w:val="xl36"/>
    <w:basedOn w:val="Normal"/>
    <w:rsid w:val="00715AD7"/>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Calibri" w:eastAsia="Calibri" w:hAnsi="Calibri"/>
      <w:sz w:val="20"/>
      <w:szCs w:val="20"/>
      <w:lang w:val="en-GB"/>
    </w:rPr>
  </w:style>
  <w:style w:type="character" w:styleId="Strong">
    <w:name w:val="Strong"/>
    <w:basedOn w:val="DefaultParagraphFont"/>
    <w:uiPriority w:val="22"/>
    <w:qFormat/>
    <w:rsid w:val="00661735"/>
    <w:rPr>
      <w:b/>
      <w:bCs/>
    </w:rPr>
  </w:style>
  <w:style w:type="character" w:customStyle="1" w:styleId="slug-pop-date">
    <w:name w:val="slug-pop-date"/>
    <w:basedOn w:val="DefaultParagraphFont"/>
    <w:rsid w:val="00B5678D"/>
  </w:style>
  <w:style w:type="character" w:customStyle="1" w:styleId="pop-slug">
    <w:name w:val="pop-slug"/>
    <w:basedOn w:val="DefaultParagraphFont"/>
    <w:rsid w:val="00B5678D"/>
  </w:style>
  <w:style w:type="paragraph" w:customStyle="1" w:styleId="Default">
    <w:name w:val="Default"/>
    <w:rsid w:val="007D6ED6"/>
    <w:pPr>
      <w:autoSpaceDE w:val="0"/>
      <w:autoSpaceDN w:val="0"/>
      <w:adjustRightInd w:val="0"/>
    </w:pPr>
    <w:rPr>
      <w:rFonts w:ascii="Arial" w:hAnsi="Arial" w:cs="Arial"/>
      <w:color w:val="000000"/>
    </w:rPr>
  </w:style>
  <w:style w:type="table" w:styleId="TableGrid">
    <w:name w:val="Table Grid"/>
    <w:basedOn w:val="TableNormal"/>
    <w:uiPriority w:val="59"/>
    <w:rsid w:val="00BB3E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E05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0E0586"/>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20657">
      <w:bodyDiv w:val="1"/>
      <w:marLeft w:val="0"/>
      <w:marRight w:val="0"/>
      <w:marTop w:val="0"/>
      <w:marBottom w:val="0"/>
      <w:divBdr>
        <w:top w:val="none" w:sz="0" w:space="0" w:color="auto"/>
        <w:left w:val="none" w:sz="0" w:space="0" w:color="auto"/>
        <w:bottom w:val="none" w:sz="0" w:space="0" w:color="auto"/>
        <w:right w:val="none" w:sz="0" w:space="0" w:color="auto"/>
      </w:divBdr>
    </w:div>
    <w:div w:id="415250867">
      <w:bodyDiv w:val="1"/>
      <w:marLeft w:val="0"/>
      <w:marRight w:val="0"/>
      <w:marTop w:val="0"/>
      <w:marBottom w:val="0"/>
      <w:divBdr>
        <w:top w:val="none" w:sz="0" w:space="0" w:color="auto"/>
        <w:left w:val="none" w:sz="0" w:space="0" w:color="auto"/>
        <w:bottom w:val="none" w:sz="0" w:space="0" w:color="auto"/>
        <w:right w:val="none" w:sz="0" w:space="0" w:color="auto"/>
      </w:divBdr>
    </w:div>
    <w:div w:id="876704320">
      <w:bodyDiv w:val="1"/>
      <w:marLeft w:val="0"/>
      <w:marRight w:val="0"/>
      <w:marTop w:val="0"/>
      <w:marBottom w:val="0"/>
      <w:divBdr>
        <w:top w:val="none" w:sz="0" w:space="0" w:color="auto"/>
        <w:left w:val="none" w:sz="0" w:space="0" w:color="auto"/>
        <w:bottom w:val="none" w:sz="0" w:space="0" w:color="auto"/>
        <w:right w:val="none" w:sz="0" w:space="0" w:color="auto"/>
      </w:divBdr>
    </w:div>
    <w:div w:id="1188568708">
      <w:bodyDiv w:val="1"/>
      <w:marLeft w:val="0"/>
      <w:marRight w:val="0"/>
      <w:marTop w:val="0"/>
      <w:marBottom w:val="0"/>
      <w:divBdr>
        <w:top w:val="none" w:sz="0" w:space="0" w:color="auto"/>
        <w:left w:val="none" w:sz="0" w:space="0" w:color="auto"/>
        <w:bottom w:val="none" w:sz="0" w:space="0" w:color="auto"/>
        <w:right w:val="none" w:sz="0" w:space="0" w:color="auto"/>
      </w:divBdr>
      <w:divsChild>
        <w:div w:id="32122985">
          <w:marLeft w:val="547"/>
          <w:marRight w:val="0"/>
          <w:marTop w:val="101"/>
          <w:marBottom w:val="0"/>
          <w:divBdr>
            <w:top w:val="none" w:sz="0" w:space="0" w:color="auto"/>
            <w:left w:val="none" w:sz="0" w:space="0" w:color="auto"/>
            <w:bottom w:val="none" w:sz="0" w:space="0" w:color="auto"/>
            <w:right w:val="none" w:sz="0" w:space="0" w:color="auto"/>
          </w:divBdr>
        </w:div>
        <w:div w:id="1240292600">
          <w:marLeft w:val="547"/>
          <w:marRight w:val="0"/>
          <w:marTop w:val="101"/>
          <w:marBottom w:val="0"/>
          <w:divBdr>
            <w:top w:val="none" w:sz="0" w:space="0" w:color="auto"/>
            <w:left w:val="none" w:sz="0" w:space="0" w:color="auto"/>
            <w:bottom w:val="none" w:sz="0" w:space="0" w:color="auto"/>
            <w:right w:val="none" w:sz="0" w:space="0" w:color="auto"/>
          </w:divBdr>
        </w:div>
      </w:divsChild>
    </w:div>
    <w:div w:id="1260214936">
      <w:bodyDiv w:val="1"/>
      <w:marLeft w:val="0"/>
      <w:marRight w:val="0"/>
      <w:marTop w:val="0"/>
      <w:marBottom w:val="0"/>
      <w:divBdr>
        <w:top w:val="none" w:sz="0" w:space="0" w:color="auto"/>
        <w:left w:val="none" w:sz="0" w:space="0" w:color="auto"/>
        <w:bottom w:val="none" w:sz="0" w:space="0" w:color="auto"/>
        <w:right w:val="none" w:sz="0" w:space="0" w:color="auto"/>
      </w:divBdr>
      <w:divsChild>
        <w:div w:id="617175884">
          <w:marLeft w:val="547"/>
          <w:marRight w:val="0"/>
          <w:marTop w:val="101"/>
          <w:marBottom w:val="0"/>
          <w:divBdr>
            <w:top w:val="none" w:sz="0" w:space="0" w:color="auto"/>
            <w:left w:val="none" w:sz="0" w:space="0" w:color="auto"/>
            <w:bottom w:val="none" w:sz="0" w:space="0" w:color="auto"/>
            <w:right w:val="none" w:sz="0" w:space="0" w:color="auto"/>
          </w:divBdr>
        </w:div>
        <w:div w:id="573123582">
          <w:marLeft w:val="547"/>
          <w:marRight w:val="0"/>
          <w:marTop w:val="101"/>
          <w:marBottom w:val="0"/>
          <w:divBdr>
            <w:top w:val="none" w:sz="0" w:space="0" w:color="auto"/>
            <w:left w:val="none" w:sz="0" w:space="0" w:color="auto"/>
            <w:bottom w:val="none" w:sz="0" w:space="0" w:color="auto"/>
            <w:right w:val="none" w:sz="0" w:space="0" w:color="auto"/>
          </w:divBdr>
        </w:div>
        <w:div w:id="862405420">
          <w:marLeft w:val="547"/>
          <w:marRight w:val="0"/>
          <w:marTop w:val="101"/>
          <w:marBottom w:val="0"/>
          <w:divBdr>
            <w:top w:val="none" w:sz="0" w:space="0" w:color="auto"/>
            <w:left w:val="none" w:sz="0" w:space="0" w:color="auto"/>
            <w:bottom w:val="none" w:sz="0" w:space="0" w:color="auto"/>
            <w:right w:val="none" w:sz="0" w:space="0" w:color="auto"/>
          </w:divBdr>
        </w:div>
        <w:div w:id="98992072">
          <w:marLeft w:val="547"/>
          <w:marRight w:val="0"/>
          <w:marTop w:val="101"/>
          <w:marBottom w:val="0"/>
          <w:divBdr>
            <w:top w:val="none" w:sz="0" w:space="0" w:color="auto"/>
            <w:left w:val="none" w:sz="0" w:space="0" w:color="auto"/>
            <w:bottom w:val="none" w:sz="0" w:space="0" w:color="auto"/>
            <w:right w:val="none" w:sz="0" w:space="0" w:color="auto"/>
          </w:divBdr>
        </w:div>
        <w:div w:id="1110391961">
          <w:marLeft w:val="547"/>
          <w:marRight w:val="0"/>
          <w:marTop w:val="101"/>
          <w:marBottom w:val="0"/>
          <w:divBdr>
            <w:top w:val="none" w:sz="0" w:space="0" w:color="auto"/>
            <w:left w:val="none" w:sz="0" w:space="0" w:color="auto"/>
            <w:bottom w:val="none" w:sz="0" w:space="0" w:color="auto"/>
            <w:right w:val="none" w:sz="0" w:space="0" w:color="auto"/>
          </w:divBdr>
        </w:div>
        <w:div w:id="1569537073">
          <w:marLeft w:val="547"/>
          <w:marRight w:val="0"/>
          <w:marTop w:val="101"/>
          <w:marBottom w:val="0"/>
          <w:divBdr>
            <w:top w:val="none" w:sz="0" w:space="0" w:color="auto"/>
            <w:left w:val="none" w:sz="0" w:space="0" w:color="auto"/>
            <w:bottom w:val="none" w:sz="0" w:space="0" w:color="auto"/>
            <w:right w:val="none" w:sz="0" w:space="0" w:color="auto"/>
          </w:divBdr>
        </w:div>
      </w:divsChild>
    </w:div>
    <w:div w:id="207345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en.king@imperial.ac.uk" TargetMode="External"/><Relationship Id="rId18" Type="http://schemas.openxmlformats.org/officeDocument/2006/relationships/hyperlink" Target="http://www.chagghana.org/chag/assets/files/Vandermoortele_2009_MDGs%5b1%5d.pdf"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h.ward@imperial.ac.uk" TargetMode="External"/><Relationship Id="rId17" Type="http://schemas.openxmlformats.org/officeDocument/2006/relationships/hyperlink" Target="http://onlinelibrary.wiley.com/doi/10.1111/j.1759-5436.2010.00099.x/pdf" TargetMode="External"/><Relationship Id="rId25" Type="http://schemas.openxmlformats.org/officeDocument/2006/relationships/footer" Target="footer2.xml"/><Relationship Id="rId33" Type="http://schemas.openxmlformats.org/officeDocument/2006/relationships/hyperlink" Target="http://www.odi.org.uk/resources/docs/478.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dgs.un.org/unsd/mdg/Resources/Static/Products/Progress2012/Progress_E.pdf" TargetMode="External"/><Relationship Id="rId20" Type="http://schemas.openxmlformats.org/officeDocument/2006/relationships/hyperlink" Target="https://vle.imperial.ac.uk/webct/logonDisplay.dowebct"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http://www.cochrane.org" TargetMode="External"/><Relationship Id="rId37"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mailto:Helen.King@imperial.ac.uk" TargetMode="External"/><Relationship Id="rId23" Type="http://schemas.openxmlformats.org/officeDocument/2006/relationships/hyperlink" Target="http://www.cgdev.org/section/initiatives/_active/millionssaved" TargetMode="External"/><Relationship Id="rId28" Type="http://schemas.openxmlformats.org/officeDocument/2006/relationships/hyperlink" Target="http://www.chagghana.org/chag/assets/files/Vandermoortele_2009_MDGs%5b1%5d.pdf" TargetMode="Externa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publichealth.massey.ac.nz/publications/introepi.pdf" TargetMode="External"/><Relationship Id="rId31" Type="http://schemas.openxmlformats.org/officeDocument/2006/relationships/hyperlink" Target="http://www.york.ac.uk/inst/crd/report4.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sbaiti@imperial.ac.uk" TargetMode="External"/><Relationship Id="rId22" Type="http://schemas.openxmlformats.org/officeDocument/2006/relationships/hyperlink" Target="http://publichealth.massey.ac.nz/publications/introepi.pdf" TargetMode="External"/><Relationship Id="rId27" Type="http://schemas.openxmlformats.org/officeDocument/2006/relationships/hyperlink" Target="http://onlinelibrary.wiley.com/doi/10.1111/j.1759-5436.2010.00099.x/pdf" TargetMode="External"/><Relationship Id="rId30" Type="http://schemas.openxmlformats.org/officeDocument/2006/relationships/image" Target="media/image7.emf"/><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3AFE-2C2B-43F4-8A8C-C21630C2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5656</Words>
  <Characters>32245</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icsm</Company>
  <LinksUpToDate>false</LinksUpToDate>
  <CharactersWithSpaces>37826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pvineis</dc:creator>
  <cp:lastModifiedBy>Shiel, Nuala</cp:lastModifiedBy>
  <cp:revision>2</cp:revision>
  <cp:lastPrinted>2010-09-27T11:45:00Z</cp:lastPrinted>
  <dcterms:created xsi:type="dcterms:W3CDTF">2012-09-27T15:02:00Z</dcterms:created>
  <dcterms:modified xsi:type="dcterms:W3CDTF">2012-09-27T15:02:00Z</dcterms:modified>
</cp:coreProperties>
</file>