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A1" w:rsidRPr="007264DE" w:rsidRDefault="00D369A1">
      <w:pPr>
        <w:rPr>
          <w:rFonts w:ascii="Arial" w:hAnsi="Arial" w:cs="Arial"/>
          <w:sz w:val="32"/>
        </w:rPr>
      </w:pPr>
      <w:r w:rsidRPr="007264DE">
        <w:rPr>
          <w:rFonts w:ascii="Arial" w:hAnsi="Arial" w:cs="Arial"/>
          <w:sz w:val="32"/>
        </w:rPr>
        <w:t xml:space="preserve">Tutorial: </w:t>
      </w:r>
      <w:r w:rsidR="007264DE" w:rsidRPr="007264DE">
        <w:rPr>
          <w:rFonts w:ascii="Arial" w:hAnsi="Arial" w:cs="Arial"/>
          <w:sz w:val="32"/>
        </w:rPr>
        <w:t xml:space="preserve"> </w:t>
      </w:r>
      <w:r w:rsidRPr="007264DE">
        <w:rPr>
          <w:rFonts w:ascii="Arial" w:hAnsi="Arial" w:cs="Arial"/>
          <w:sz w:val="32"/>
        </w:rPr>
        <w:t xml:space="preserve">Exploitation of the </w:t>
      </w:r>
      <w:proofErr w:type="spellStart"/>
      <w:r w:rsidRPr="007264DE">
        <w:rPr>
          <w:rFonts w:ascii="Arial" w:hAnsi="Arial" w:cs="Arial"/>
          <w:sz w:val="32"/>
        </w:rPr>
        <w:t>actin</w:t>
      </w:r>
      <w:proofErr w:type="spellEnd"/>
      <w:r w:rsidRPr="007264DE">
        <w:rPr>
          <w:rFonts w:ascii="Arial" w:hAnsi="Arial" w:cs="Arial"/>
          <w:sz w:val="32"/>
        </w:rPr>
        <w:t xml:space="preserve"> cytoskeleton by </w:t>
      </w:r>
      <w:proofErr w:type="spellStart"/>
      <w:r w:rsidRPr="007264DE">
        <w:rPr>
          <w:rFonts w:ascii="Arial" w:hAnsi="Arial" w:cs="Arial"/>
          <w:i/>
          <w:sz w:val="32"/>
        </w:rPr>
        <w:t>Listeria</w:t>
      </w:r>
      <w:proofErr w:type="spellEnd"/>
    </w:p>
    <w:p w:rsidR="00D369A1" w:rsidRDefault="00D369A1">
      <w:pPr>
        <w:rPr>
          <w:rFonts w:ascii="Arial" w:hAnsi="Arial" w:cs="Arial"/>
        </w:rPr>
      </w:pPr>
    </w:p>
    <w:p w:rsidR="00D369A1" w:rsidRDefault="00D369A1">
      <w:pPr>
        <w:rPr>
          <w:rFonts w:ascii="Arial" w:hAnsi="Arial" w:cs="Arial"/>
          <w:b/>
          <w:sz w:val="28"/>
        </w:rPr>
      </w:pPr>
      <w:r>
        <w:rPr>
          <w:rFonts w:ascii="Arial" w:hAnsi="Arial" w:cs="Arial"/>
          <w:b/>
          <w:sz w:val="28"/>
        </w:rPr>
        <w:t>Take home messages</w:t>
      </w:r>
    </w:p>
    <w:p w:rsidR="00D369A1" w:rsidRDefault="00D369A1">
      <w:pPr>
        <w:rPr>
          <w:rFonts w:ascii="Arial" w:hAnsi="Arial" w:cs="Arial"/>
          <w:sz w:val="16"/>
        </w:rPr>
      </w:pPr>
    </w:p>
    <w:p w:rsidR="00D369A1" w:rsidRDefault="00D369A1">
      <w:pPr>
        <w:rPr>
          <w:rFonts w:ascii="Arial" w:hAnsi="Arial" w:cs="Arial"/>
          <w:sz w:val="22"/>
        </w:rPr>
      </w:pPr>
      <w:r>
        <w:rPr>
          <w:rFonts w:ascii="Arial" w:hAnsi="Arial" w:cs="Arial"/>
          <w:sz w:val="22"/>
        </w:rPr>
        <w:t xml:space="preserve">The mechanism of </w:t>
      </w:r>
      <w:proofErr w:type="spellStart"/>
      <w:r>
        <w:rPr>
          <w:rFonts w:ascii="Arial" w:hAnsi="Arial" w:cs="Arial"/>
          <w:i/>
          <w:sz w:val="22"/>
        </w:rPr>
        <w:t>Listeria</w:t>
      </w:r>
      <w:proofErr w:type="spellEnd"/>
      <w:r>
        <w:rPr>
          <w:rFonts w:ascii="Arial" w:hAnsi="Arial" w:cs="Arial"/>
          <w:sz w:val="22"/>
        </w:rPr>
        <w:t xml:space="preserve"> motility is summarised in the diagram. New </w:t>
      </w:r>
      <w:proofErr w:type="spellStart"/>
      <w:r>
        <w:rPr>
          <w:rFonts w:ascii="Arial" w:hAnsi="Arial" w:cs="Arial"/>
          <w:sz w:val="22"/>
        </w:rPr>
        <w:t>actin</w:t>
      </w:r>
      <w:proofErr w:type="spellEnd"/>
      <w:r>
        <w:rPr>
          <w:rFonts w:ascii="Arial" w:hAnsi="Arial" w:cs="Arial"/>
          <w:sz w:val="22"/>
        </w:rPr>
        <w:t xml:space="preserve"> filaments are constantly being produced adjacent to one pole of the bacterium to form the "comet tail" structure. The </w:t>
      </w:r>
      <w:proofErr w:type="spellStart"/>
      <w:r>
        <w:rPr>
          <w:rFonts w:ascii="Arial" w:hAnsi="Arial" w:cs="Arial"/>
          <w:sz w:val="22"/>
        </w:rPr>
        <w:t>actin</w:t>
      </w:r>
      <w:proofErr w:type="spellEnd"/>
      <w:r>
        <w:rPr>
          <w:rFonts w:ascii="Arial" w:hAnsi="Arial" w:cs="Arial"/>
          <w:sz w:val="22"/>
        </w:rPr>
        <w:t xml:space="preserve"> filaments of the comet tail stay stationary within the cell, probably because they are </w:t>
      </w:r>
      <w:proofErr w:type="spellStart"/>
      <w:r>
        <w:rPr>
          <w:rFonts w:ascii="Arial" w:hAnsi="Arial" w:cs="Arial"/>
          <w:sz w:val="22"/>
        </w:rPr>
        <w:t>crosslinked</w:t>
      </w:r>
      <w:proofErr w:type="spellEnd"/>
      <w:r>
        <w:rPr>
          <w:rFonts w:ascii="Arial" w:hAnsi="Arial" w:cs="Arial"/>
          <w:sz w:val="22"/>
        </w:rPr>
        <w:t xml:space="preserve"> to each other and to cellular filaments with </w:t>
      </w:r>
      <w:r>
        <w:rPr>
          <w:rFonts w:ascii="Arial" w:hAnsi="Arial" w:cs="Arial"/>
          <w:sz w:val="22"/>
        </w:rPr>
        <w:sym w:font="Symbol" w:char="F061"/>
      </w:r>
      <w:r>
        <w:rPr>
          <w:rFonts w:ascii="Arial" w:hAnsi="Arial" w:cs="Arial"/>
          <w:sz w:val="22"/>
        </w:rPr>
        <w:t>-</w:t>
      </w:r>
      <w:proofErr w:type="spellStart"/>
      <w:r>
        <w:rPr>
          <w:rFonts w:ascii="Arial" w:hAnsi="Arial" w:cs="Arial"/>
          <w:sz w:val="22"/>
        </w:rPr>
        <w:t>actinin</w:t>
      </w:r>
      <w:proofErr w:type="spellEnd"/>
      <w:r>
        <w:rPr>
          <w:rFonts w:ascii="Arial" w:hAnsi="Arial" w:cs="Arial"/>
          <w:sz w:val="22"/>
        </w:rPr>
        <w:t xml:space="preserve"> and other </w:t>
      </w:r>
      <w:proofErr w:type="spellStart"/>
      <w:r>
        <w:rPr>
          <w:rFonts w:ascii="Arial" w:hAnsi="Arial" w:cs="Arial"/>
          <w:sz w:val="22"/>
        </w:rPr>
        <w:t>crosslinking</w:t>
      </w:r>
      <w:proofErr w:type="spellEnd"/>
      <w:r>
        <w:rPr>
          <w:rFonts w:ascii="Arial" w:hAnsi="Arial" w:cs="Arial"/>
          <w:sz w:val="22"/>
        </w:rPr>
        <w:t xml:space="preserve"> proteins. Thus as new filaments continue to be created the bacterium is pushed forwards. At the same time the filaments at the distal end of the tail tend to depolymerise.</w:t>
      </w:r>
    </w:p>
    <w:p w:rsidR="007264DE" w:rsidRDefault="007264DE">
      <w:pPr>
        <w:rPr>
          <w:rFonts w:ascii="Arial" w:hAnsi="Arial" w:cs="Arial"/>
          <w:sz w:val="22"/>
        </w:rPr>
      </w:pPr>
    </w:p>
    <w:p w:rsidR="00D369A1" w:rsidRDefault="00664F00" w:rsidP="008A15F7">
      <w:pPr>
        <w:jc w:val="center"/>
        <w:rPr>
          <w:rFonts w:ascii="Arial" w:hAnsi="Arial" w:cs="Arial"/>
        </w:rPr>
      </w:pPr>
      <w:r>
        <w:rPr>
          <w:rFonts w:ascii="Arial" w:hAnsi="Arial" w:cs="Arial"/>
          <w:noProof/>
          <w:sz w:val="22"/>
          <w:lang w:eastAsia="en-GB"/>
        </w:rPr>
        <w:drawing>
          <wp:inline distT="0" distB="0" distL="0" distR="0">
            <wp:extent cx="3038475" cy="1362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38475" cy="1362075"/>
                    </a:xfrm>
                    <a:prstGeom prst="rect">
                      <a:avLst/>
                    </a:prstGeom>
                    <a:noFill/>
                    <a:ln w="9525">
                      <a:noFill/>
                      <a:miter lim="800000"/>
                      <a:headEnd/>
                      <a:tailEnd/>
                    </a:ln>
                  </pic:spPr>
                </pic:pic>
              </a:graphicData>
            </a:graphic>
          </wp:inline>
        </w:drawing>
      </w:r>
    </w:p>
    <w:p w:rsidR="007264DE" w:rsidRDefault="007264DE">
      <w:pPr>
        <w:rPr>
          <w:rFonts w:ascii="Arial" w:hAnsi="Arial" w:cs="Arial"/>
          <w:i/>
          <w:sz w:val="22"/>
        </w:rPr>
      </w:pPr>
    </w:p>
    <w:p w:rsidR="00D369A1" w:rsidRDefault="00D369A1">
      <w:pPr>
        <w:rPr>
          <w:rFonts w:ascii="Arial" w:hAnsi="Arial" w:cs="Arial"/>
          <w:sz w:val="22"/>
        </w:rPr>
      </w:pPr>
      <w:proofErr w:type="spellStart"/>
      <w:r>
        <w:rPr>
          <w:rFonts w:ascii="Arial" w:hAnsi="Arial" w:cs="Arial"/>
          <w:i/>
          <w:sz w:val="22"/>
        </w:rPr>
        <w:t>Listeria</w:t>
      </w:r>
      <w:proofErr w:type="spellEnd"/>
      <w:r>
        <w:rPr>
          <w:rFonts w:ascii="Arial" w:hAnsi="Arial" w:cs="Arial"/>
          <w:sz w:val="22"/>
        </w:rPr>
        <w:t xml:space="preserve"> expresses </w:t>
      </w:r>
      <w:proofErr w:type="spellStart"/>
      <w:r>
        <w:rPr>
          <w:rFonts w:ascii="Arial" w:hAnsi="Arial" w:cs="Arial"/>
          <w:sz w:val="22"/>
        </w:rPr>
        <w:t>ActA</w:t>
      </w:r>
      <w:proofErr w:type="spellEnd"/>
      <w:r>
        <w:rPr>
          <w:rFonts w:ascii="Arial" w:hAnsi="Arial" w:cs="Arial"/>
          <w:sz w:val="22"/>
        </w:rPr>
        <w:t xml:space="preserve"> at one pole only of the bacterium. </w:t>
      </w:r>
      <w:proofErr w:type="spellStart"/>
      <w:r>
        <w:rPr>
          <w:rFonts w:ascii="Arial" w:hAnsi="Arial" w:cs="Arial"/>
          <w:sz w:val="22"/>
        </w:rPr>
        <w:t>ActA</w:t>
      </w:r>
      <w:proofErr w:type="spellEnd"/>
      <w:r>
        <w:rPr>
          <w:rFonts w:ascii="Arial" w:hAnsi="Arial" w:cs="Arial"/>
          <w:sz w:val="22"/>
        </w:rPr>
        <w:t xml:space="preserve"> can itself bind </w:t>
      </w:r>
      <w:proofErr w:type="spellStart"/>
      <w:r>
        <w:rPr>
          <w:rFonts w:ascii="Arial" w:hAnsi="Arial" w:cs="Arial"/>
          <w:sz w:val="22"/>
        </w:rPr>
        <w:t>actin</w:t>
      </w:r>
      <w:proofErr w:type="spellEnd"/>
      <w:r>
        <w:rPr>
          <w:rFonts w:ascii="Arial" w:hAnsi="Arial" w:cs="Arial"/>
          <w:sz w:val="22"/>
        </w:rPr>
        <w:t xml:space="preserve"> in the host cell cytoplasm, and this is sufficient to allow limited motility. However full motility </w:t>
      </w:r>
      <w:proofErr w:type="gramStart"/>
      <w:r>
        <w:rPr>
          <w:rFonts w:ascii="Arial" w:hAnsi="Arial" w:cs="Arial"/>
          <w:sz w:val="22"/>
        </w:rPr>
        <w:t xml:space="preserve">at up to 10 </w:t>
      </w:r>
      <w:proofErr w:type="spellStart"/>
      <w:r>
        <w:rPr>
          <w:rFonts w:ascii="Arial" w:hAnsi="Arial" w:cs="Arial"/>
          <w:sz w:val="22"/>
        </w:rPr>
        <w:t>μm</w:t>
      </w:r>
      <w:proofErr w:type="spellEnd"/>
      <w:r>
        <w:rPr>
          <w:rFonts w:ascii="Arial" w:hAnsi="Arial" w:cs="Arial"/>
          <w:sz w:val="22"/>
        </w:rPr>
        <w:t>/min</w:t>
      </w:r>
      <w:proofErr w:type="gramEnd"/>
      <w:r>
        <w:rPr>
          <w:rFonts w:ascii="Arial" w:hAnsi="Arial" w:cs="Arial"/>
          <w:sz w:val="22"/>
        </w:rPr>
        <w:t xml:space="preserve"> also requires VASP binding by the </w:t>
      </w:r>
      <w:proofErr w:type="spellStart"/>
      <w:r>
        <w:rPr>
          <w:rFonts w:ascii="Arial" w:hAnsi="Arial" w:cs="Arial"/>
          <w:sz w:val="22"/>
        </w:rPr>
        <w:t>proline</w:t>
      </w:r>
      <w:proofErr w:type="spellEnd"/>
      <w:r>
        <w:rPr>
          <w:rFonts w:ascii="Arial" w:hAnsi="Arial" w:cs="Arial"/>
          <w:sz w:val="22"/>
        </w:rPr>
        <w:t xml:space="preserve">-rich region of the protein. This recruits Arp complexes which acts as nuclei for new </w:t>
      </w:r>
      <w:proofErr w:type="spellStart"/>
      <w:r>
        <w:rPr>
          <w:rFonts w:ascii="Arial" w:hAnsi="Arial" w:cs="Arial"/>
          <w:sz w:val="22"/>
        </w:rPr>
        <w:t>actin</w:t>
      </w:r>
      <w:proofErr w:type="spellEnd"/>
      <w:r>
        <w:rPr>
          <w:rFonts w:ascii="Arial" w:hAnsi="Arial" w:cs="Arial"/>
          <w:sz w:val="22"/>
        </w:rPr>
        <w:t xml:space="preserve"> filaments, increasing greatly the rate of comet tail formation. The preferred ends of the new filaments are oriented towards the bacterium. VASP also binds </w:t>
      </w:r>
      <w:proofErr w:type="spellStart"/>
      <w:r>
        <w:rPr>
          <w:rFonts w:ascii="Arial" w:hAnsi="Arial" w:cs="Arial"/>
          <w:sz w:val="22"/>
        </w:rPr>
        <w:t>profilin</w:t>
      </w:r>
      <w:proofErr w:type="spellEnd"/>
      <w:r>
        <w:rPr>
          <w:rFonts w:ascii="Arial" w:hAnsi="Arial" w:cs="Arial"/>
          <w:sz w:val="22"/>
        </w:rPr>
        <w:t xml:space="preserve"> to this part of the cell, ensuring a good supply of ATP-containing G-</w:t>
      </w:r>
      <w:proofErr w:type="spellStart"/>
      <w:r>
        <w:rPr>
          <w:rFonts w:ascii="Arial" w:hAnsi="Arial" w:cs="Arial"/>
          <w:sz w:val="22"/>
        </w:rPr>
        <w:t>actin</w:t>
      </w:r>
      <w:proofErr w:type="spellEnd"/>
      <w:r>
        <w:rPr>
          <w:rFonts w:ascii="Arial" w:hAnsi="Arial" w:cs="Arial"/>
          <w:sz w:val="22"/>
        </w:rPr>
        <w:t xml:space="preserve"> molecules for polymerisation. The molecular arrangement is illustrated schematically below.</w:t>
      </w:r>
    </w:p>
    <w:p w:rsidR="00D369A1" w:rsidRDefault="00664F00">
      <w:pPr>
        <w:rPr>
          <w:rFonts w:ascii="Arial" w:hAnsi="Arial" w:cs="Arial"/>
        </w:rPr>
      </w:pPr>
      <w:r>
        <w:rPr>
          <w:rFonts w:ascii="Arial" w:hAnsi="Arial" w:cs="Arial"/>
          <w:noProof/>
          <w:sz w:val="22"/>
          <w:lang w:eastAsia="en-GB"/>
        </w:rPr>
        <w:drawing>
          <wp:anchor distT="0" distB="0" distL="114300" distR="114300" simplePos="0" relativeHeight="251657216" behindDoc="0" locked="0" layoutInCell="0" allowOverlap="1">
            <wp:simplePos x="0" y="0"/>
            <wp:positionH relativeFrom="column">
              <wp:posOffset>411480</wp:posOffset>
            </wp:positionH>
            <wp:positionV relativeFrom="paragraph">
              <wp:posOffset>113030</wp:posOffset>
            </wp:positionV>
            <wp:extent cx="4023360" cy="1947545"/>
            <wp:effectExtent l="19050" t="19050" r="15240" b="14605"/>
            <wp:wrapTopAndBottom/>
            <wp:docPr id="3" name="Picture 3" descr="listeri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eria-7"/>
                    <pic:cNvPicPr>
                      <a:picLocks noChangeAspect="1" noChangeArrowheads="1"/>
                    </pic:cNvPicPr>
                  </pic:nvPicPr>
                  <pic:blipFill>
                    <a:blip r:embed="rId7" cstate="print"/>
                    <a:srcRect/>
                    <a:stretch>
                      <a:fillRect/>
                    </a:stretch>
                  </pic:blipFill>
                  <pic:spPr bwMode="auto">
                    <a:xfrm>
                      <a:off x="0" y="0"/>
                      <a:ext cx="4023360" cy="1947545"/>
                    </a:xfrm>
                    <a:prstGeom prst="rect">
                      <a:avLst/>
                    </a:prstGeom>
                    <a:noFill/>
                    <a:ln w="9525">
                      <a:solidFill>
                        <a:srgbClr val="000000"/>
                      </a:solidFill>
                      <a:miter lim="800000"/>
                      <a:headEnd/>
                      <a:tailEnd/>
                    </a:ln>
                  </pic:spPr>
                </pic:pic>
              </a:graphicData>
            </a:graphic>
          </wp:anchor>
        </w:drawing>
      </w:r>
    </w:p>
    <w:p w:rsidR="007264DE" w:rsidRDefault="007264DE">
      <w:pPr>
        <w:rPr>
          <w:rFonts w:ascii="Arial" w:hAnsi="Arial" w:cs="Arial"/>
          <w:b/>
        </w:rPr>
      </w:pPr>
    </w:p>
    <w:p w:rsidR="00D369A1" w:rsidRDefault="00D369A1">
      <w:pPr>
        <w:rPr>
          <w:rFonts w:ascii="Arial" w:hAnsi="Arial" w:cs="Arial"/>
          <w:b/>
        </w:rPr>
      </w:pPr>
      <w:r>
        <w:rPr>
          <w:rFonts w:ascii="Arial" w:hAnsi="Arial" w:cs="Arial"/>
          <w:b/>
        </w:rPr>
        <w:t xml:space="preserve">Role of intracellular motility in the pathogenesis of </w:t>
      </w:r>
      <w:proofErr w:type="spellStart"/>
      <w:r>
        <w:rPr>
          <w:rFonts w:ascii="Arial" w:hAnsi="Arial" w:cs="Arial"/>
          <w:b/>
          <w:i/>
        </w:rPr>
        <w:t>Listeria</w:t>
      </w:r>
      <w:proofErr w:type="spellEnd"/>
    </w:p>
    <w:p w:rsidR="00D369A1" w:rsidRDefault="00D369A1">
      <w:pPr>
        <w:rPr>
          <w:rFonts w:ascii="Arial" w:hAnsi="Arial" w:cs="Arial"/>
        </w:rPr>
      </w:pPr>
    </w:p>
    <w:p w:rsidR="00D369A1" w:rsidRDefault="00D369A1">
      <w:pPr>
        <w:rPr>
          <w:rFonts w:ascii="Arial" w:hAnsi="Arial" w:cs="Arial"/>
          <w:sz w:val="22"/>
        </w:rPr>
      </w:pPr>
      <w:proofErr w:type="spellStart"/>
      <w:proofErr w:type="gramStart"/>
      <w:r>
        <w:rPr>
          <w:rFonts w:ascii="Arial" w:hAnsi="Arial" w:cs="Arial"/>
          <w:i/>
          <w:sz w:val="22"/>
        </w:rPr>
        <w:t>Listeria</w:t>
      </w:r>
      <w:proofErr w:type="spellEnd"/>
      <w:r>
        <w:rPr>
          <w:rFonts w:ascii="Arial" w:hAnsi="Arial" w:cs="Arial"/>
          <w:sz w:val="22"/>
        </w:rPr>
        <w:t xml:space="preserve"> bind</w:t>
      </w:r>
      <w:proofErr w:type="gramEnd"/>
      <w:r>
        <w:rPr>
          <w:rFonts w:ascii="Arial" w:hAnsi="Arial" w:cs="Arial"/>
          <w:sz w:val="22"/>
        </w:rPr>
        <w:t xml:space="preserve"> to the outside of cells, via one of the cell surface adhesion molecules (E-</w:t>
      </w:r>
      <w:proofErr w:type="spellStart"/>
      <w:r>
        <w:rPr>
          <w:rFonts w:ascii="Arial" w:hAnsi="Arial" w:cs="Arial"/>
          <w:sz w:val="22"/>
        </w:rPr>
        <w:t>cadherin</w:t>
      </w:r>
      <w:proofErr w:type="spellEnd"/>
      <w:r>
        <w:rPr>
          <w:rFonts w:ascii="Arial" w:hAnsi="Arial" w:cs="Arial"/>
          <w:sz w:val="22"/>
        </w:rPr>
        <w:t xml:space="preserve">). This triggers internalisation by normal </w:t>
      </w:r>
      <w:proofErr w:type="spellStart"/>
      <w:r>
        <w:rPr>
          <w:rFonts w:ascii="Arial" w:hAnsi="Arial" w:cs="Arial"/>
          <w:sz w:val="22"/>
        </w:rPr>
        <w:t>endocytosis</w:t>
      </w:r>
      <w:proofErr w:type="spellEnd"/>
      <w:r>
        <w:rPr>
          <w:rFonts w:ascii="Arial" w:hAnsi="Arial" w:cs="Arial"/>
          <w:sz w:val="22"/>
        </w:rPr>
        <w:t xml:space="preserve"> or </w:t>
      </w:r>
      <w:proofErr w:type="spellStart"/>
      <w:r>
        <w:rPr>
          <w:rFonts w:ascii="Arial" w:hAnsi="Arial" w:cs="Arial"/>
          <w:sz w:val="22"/>
        </w:rPr>
        <w:t>phagocytosis</w:t>
      </w:r>
      <w:proofErr w:type="spellEnd"/>
      <w:r>
        <w:rPr>
          <w:rFonts w:ascii="Arial" w:hAnsi="Arial" w:cs="Arial"/>
          <w:sz w:val="22"/>
        </w:rPr>
        <w:t xml:space="preserve"> mechanisms. Once the bacterium is in an acidic compartment within the cell a special </w:t>
      </w:r>
      <w:proofErr w:type="spellStart"/>
      <w:r>
        <w:rPr>
          <w:rFonts w:ascii="Arial" w:hAnsi="Arial" w:cs="Arial"/>
          <w:sz w:val="22"/>
        </w:rPr>
        <w:t>lysin</w:t>
      </w:r>
      <w:proofErr w:type="spellEnd"/>
      <w:r>
        <w:rPr>
          <w:rFonts w:ascii="Arial" w:hAnsi="Arial" w:cs="Arial"/>
          <w:sz w:val="22"/>
        </w:rPr>
        <w:t xml:space="preserve"> protein is produced which breaks down the membrane of the organelle and allows </w:t>
      </w:r>
      <w:proofErr w:type="spellStart"/>
      <w:r>
        <w:rPr>
          <w:rFonts w:ascii="Arial" w:hAnsi="Arial" w:cs="Arial"/>
          <w:i/>
          <w:sz w:val="22"/>
        </w:rPr>
        <w:t>Listeria</w:t>
      </w:r>
      <w:proofErr w:type="spellEnd"/>
      <w:r>
        <w:rPr>
          <w:rFonts w:ascii="Arial" w:hAnsi="Arial" w:cs="Arial"/>
          <w:sz w:val="22"/>
        </w:rPr>
        <w:t xml:space="preserve"> access to the cytoplasm. It then spreads throughout the cell by the mechanism summarised above.</w:t>
      </w:r>
    </w:p>
    <w:p w:rsidR="00D369A1" w:rsidRDefault="00D369A1">
      <w:pPr>
        <w:rPr>
          <w:rFonts w:ascii="Arial" w:hAnsi="Arial" w:cs="Arial"/>
          <w:sz w:val="22"/>
        </w:rPr>
      </w:pPr>
      <w:r>
        <w:rPr>
          <w:rFonts w:ascii="Arial" w:hAnsi="Arial" w:cs="Arial"/>
          <w:sz w:val="22"/>
        </w:rPr>
        <w:t xml:space="preserve">Intracellular motility allows </w:t>
      </w:r>
      <w:proofErr w:type="spellStart"/>
      <w:r>
        <w:rPr>
          <w:rFonts w:ascii="Arial" w:hAnsi="Arial" w:cs="Arial"/>
          <w:i/>
          <w:sz w:val="22"/>
        </w:rPr>
        <w:t>Listeria</w:t>
      </w:r>
      <w:proofErr w:type="spellEnd"/>
      <w:r>
        <w:rPr>
          <w:rFonts w:ascii="Arial" w:hAnsi="Arial" w:cs="Arial"/>
          <w:sz w:val="22"/>
        </w:rPr>
        <w:t xml:space="preserve"> to move through the cell (in its absence the rate of cell division is reduced) and to migrate from cell to cell or to exit the cell, as shown below.</w:t>
      </w:r>
    </w:p>
    <w:p w:rsidR="007264DE" w:rsidRDefault="007264DE">
      <w:pPr>
        <w:rPr>
          <w:rFonts w:ascii="Arial" w:hAnsi="Arial" w:cs="Arial"/>
          <w:sz w:val="22"/>
        </w:rPr>
      </w:pPr>
    </w:p>
    <w:p w:rsidR="007264DE" w:rsidRDefault="007264DE">
      <w:pPr>
        <w:rPr>
          <w:rFonts w:ascii="Arial" w:hAnsi="Arial" w:cs="Arial"/>
          <w:sz w:val="22"/>
        </w:rPr>
      </w:pPr>
    </w:p>
    <w:p w:rsidR="00D369A1" w:rsidRDefault="00FD3FC8">
      <w:pPr>
        <w:rPr>
          <w:rFonts w:ascii="Arial" w:hAnsi="Arial" w:cs="Arial"/>
          <w:sz w:val="22"/>
        </w:rPr>
      </w:pPr>
      <w:r w:rsidRPr="00FD3FC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2.4pt;margin-top:3.5pt;width:326.85pt;height:244.95pt;z-index:251658240" o:allowincell="f" stroked="t">
            <v:imagedata r:id="rId8" o:title=""/>
            <w10:wrap type="topAndBottom"/>
          </v:shape>
          <o:OLEObject Type="Embed" ProgID="PowerPoint.Slide.8" ShapeID="_x0000_s1029" DrawAspect="Content" ObjectID="_1392459295" r:id="rId9"/>
        </w:pict>
      </w:r>
      <w:r w:rsidR="00D369A1">
        <w:rPr>
          <w:rFonts w:ascii="Arial" w:hAnsi="Arial" w:cs="Arial"/>
          <w:sz w:val="22"/>
        </w:rPr>
        <w:t xml:space="preserve">Having this mechanism of moving and reproducing within host cells gives </w:t>
      </w:r>
      <w:proofErr w:type="spellStart"/>
      <w:r w:rsidR="00D369A1">
        <w:rPr>
          <w:rFonts w:ascii="Arial" w:hAnsi="Arial" w:cs="Arial"/>
          <w:i/>
          <w:sz w:val="22"/>
        </w:rPr>
        <w:t>Listeria</w:t>
      </w:r>
      <w:proofErr w:type="spellEnd"/>
      <w:r w:rsidR="00D369A1">
        <w:rPr>
          <w:rFonts w:ascii="Arial" w:hAnsi="Arial" w:cs="Arial"/>
          <w:sz w:val="22"/>
        </w:rPr>
        <w:t xml:space="preserve"> some unusual properties. It can cross between different compartments of the body without having to use a pre-existing wound or other lesion. There is some controversy as to whether the route of entry from the gut interior to the body is via intestinal epithelial cells or antigen presenting M cells, but it is clear that </w:t>
      </w:r>
      <w:proofErr w:type="spellStart"/>
      <w:r w:rsidR="00D369A1">
        <w:rPr>
          <w:rFonts w:ascii="Arial" w:hAnsi="Arial" w:cs="Arial"/>
          <w:i/>
          <w:sz w:val="22"/>
        </w:rPr>
        <w:t>Listeria</w:t>
      </w:r>
      <w:proofErr w:type="spellEnd"/>
      <w:r w:rsidR="00D369A1">
        <w:rPr>
          <w:rFonts w:ascii="Arial" w:hAnsi="Arial" w:cs="Arial"/>
          <w:sz w:val="22"/>
        </w:rPr>
        <w:t xml:space="preserve"> end up within macrophages and blood </w:t>
      </w:r>
      <w:proofErr w:type="spellStart"/>
      <w:r w:rsidR="00D369A1">
        <w:rPr>
          <w:rFonts w:ascii="Arial" w:hAnsi="Arial" w:cs="Arial"/>
          <w:sz w:val="22"/>
        </w:rPr>
        <w:t>monocytes</w:t>
      </w:r>
      <w:proofErr w:type="spellEnd"/>
      <w:r w:rsidR="00D369A1">
        <w:rPr>
          <w:rFonts w:ascii="Arial" w:hAnsi="Arial" w:cs="Arial"/>
          <w:sz w:val="22"/>
        </w:rPr>
        <w:t xml:space="preserve"> which carry the bacteria to other tissue cells around the body. The main site of bacterial division is in </w:t>
      </w:r>
      <w:proofErr w:type="spellStart"/>
      <w:r w:rsidR="00D369A1">
        <w:rPr>
          <w:rFonts w:ascii="Arial" w:hAnsi="Arial" w:cs="Arial"/>
          <w:sz w:val="22"/>
        </w:rPr>
        <w:t>hepatocytes</w:t>
      </w:r>
      <w:proofErr w:type="spellEnd"/>
      <w:r w:rsidR="00D369A1">
        <w:rPr>
          <w:rFonts w:ascii="Arial" w:hAnsi="Arial" w:cs="Arial"/>
          <w:sz w:val="22"/>
        </w:rPr>
        <w:t xml:space="preserve"> of the liver, but </w:t>
      </w:r>
      <w:proofErr w:type="spellStart"/>
      <w:r w:rsidR="00D369A1">
        <w:rPr>
          <w:rFonts w:ascii="Arial" w:hAnsi="Arial" w:cs="Arial"/>
          <w:i/>
          <w:sz w:val="22"/>
        </w:rPr>
        <w:t>Listeria</w:t>
      </w:r>
      <w:proofErr w:type="spellEnd"/>
      <w:r w:rsidR="00D369A1">
        <w:rPr>
          <w:rFonts w:ascii="Arial" w:hAnsi="Arial" w:cs="Arial"/>
          <w:sz w:val="22"/>
        </w:rPr>
        <w:t xml:space="preserve"> can also invade the </w:t>
      </w:r>
      <w:proofErr w:type="spellStart"/>
      <w:r w:rsidR="00D369A1">
        <w:rPr>
          <w:rFonts w:ascii="Arial" w:hAnsi="Arial" w:cs="Arial"/>
          <w:sz w:val="22"/>
        </w:rPr>
        <w:t>syncytiotrophoblast</w:t>
      </w:r>
      <w:proofErr w:type="spellEnd"/>
      <w:r w:rsidR="00D369A1">
        <w:rPr>
          <w:rFonts w:ascii="Arial" w:hAnsi="Arial" w:cs="Arial"/>
          <w:sz w:val="22"/>
        </w:rPr>
        <w:t xml:space="preserve"> lining the maternal blood spaces in the placenta and exit to infect the </w:t>
      </w:r>
      <w:proofErr w:type="spellStart"/>
      <w:r w:rsidR="00D369A1">
        <w:rPr>
          <w:rFonts w:ascii="Arial" w:hAnsi="Arial" w:cs="Arial"/>
          <w:sz w:val="22"/>
        </w:rPr>
        <w:t>fetus</w:t>
      </w:r>
      <w:proofErr w:type="spellEnd"/>
      <w:r w:rsidR="00D369A1">
        <w:rPr>
          <w:rFonts w:ascii="Arial" w:hAnsi="Arial" w:cs="Arial"/>
          <w:sz w:val="22"/>
        </w:rPr>
        <w:t>. They can also cross the blood-brain barrier and cause a form of meningitis.</w:t>
      </w:r>
    </w:p>
    <w:p w:rsidR="00D369A1" w:rsidRDefault="00D369A1">
      <w:pPr>
        <w:rPr>
          <w:rFonts w:ascii="Arial" w:hAnsi="Arial" w:cs="Arial"/>
          <w:sz w:val="22"/>
        </w:rPr>
      </w:pPr>
    </w:p>
    <w:p w:rsidR="00D369A1" w:rsidRDefault="00D369A1">
      <w:pPr>
        <w:rPr>
          <w:rFonts w:ascii="Arial" w:hAnsi="Arial" w:cs="Arial"/>
          <w:b/>
        </w:rPr>
      </w:pPr>
      <w:r>
        <w:rPr>
          <w:rFonts w:ascii="Arial" w:hAnsi="Arial" w:cs="Arial"/>
          <w:b/>
        </w:rPr>
        <w:t>Epidemiological consequences</w:t>
      </w:r>
    </w:p>
    <w:p w:rsidR="00D369A1" w:rsidRDefault="00D369A1">
      <w:pPr>
        <w:rPr>
          <w:rFonts w:ascii="Arial" w:hAnsi="Arial" w:cs="Arial"/>
          <w:sz w:val="16"/>
        </w:rPr>
      </w:pPr>
    </w:p>
    <w:p w:rsidR="00D369A1" w:rsidRDefault="00D369A1">
      <w:pPr>
        <w:rPr>
          <w:rFonts w:ascii="Arial" w:hAnsi="Arial" w:cs="Arial"/>
          <w:sz w:val="22"/>
        </w:rPr>
      </w:pPr>
      <w:r>
        <w:rPr>
          <w:rFonts w:ascii="Arial" w:hAnsi="Arial" w:cs="Arial"/>
          <w:sz w:val="22"/>
        </w:rPr>
        <w:t xml:space="preserve">During an infection the vast majority of </w:t>
      </w:r>
      <w:proofErr w:type="spellStart"/>
      <w:r>
        <w:rPr>
          <w:rFonts w:ascii="Arial" w:hAnsi="Arial" w:cs="Arial"/>
          <w:i/>
          <w:sz w:val="22"/>
        </w:rPr>
        <w:t>Listeria</w:t>
      </w:r>
      <w:proofErr w:type="spellEnd"/>
      <w:r>
        <w:rPr>
          <w:rFonts w:ascii="Arial" w:hAnsi="Arial" w:cs="Arial"/>
          <w:sz w:val="22"/>
        </w:rPr>
        <w:t xml:space="preserve"> will be within host cells, where they are not accessible to antibodies or complement. The main form of immune defence will therefore be by cell-mediated responses. Any individual with a poor cell-mediated immune response is thus particularly susceptible to </w:t>
      </w:r>
      <w:proofErr w:type="spellStart"/>
      <w:r>
        <w:rPr>
          <w:rFonts w:ascii="Arial" w:hAnsi="Arial" w:cs="Arial"/>
          <w:i/>
          <w:sz w:val="22"/>
        </w:rPr>
        <w:t>Listeria</w:t>
      </w:r>
      <w:proofErr w:type="spellEnd"/>
      <w:r>
        <w:rPr>
          <w:rFonts w:ascii="Arial" w:hAnsi="Arial" w:cs="Arial"/>
          <w:sz w:val="22"/>
        </w:rPr>
        <w:t xml:space="preserve"> infection. This includes the very young and very old, the pregnant, those undergoing </w:t>
      </w:r>
      <w:proofErr w:type="spellStart"/>
      <w:r>
        <w:rPr>
          <w:rFonts w:ascii="Arial" w:hAnsi="Arial" w:cs="Arial"/>
          <w:sz w:val="22"/>
        </w:rPr>
        <w:t>immunosuppression</w:t>
      </w:r>
      <w:proofErr w:type="spellEnd"/>
      <w:r>
        <w:rPr>
          <w:rFonts w:ascii="Arial" w:hAnsi="Arial" w:cs="Arial"/>
          <w:sz w:val="22"/>
        </w:rPr>
        <w:t xml:space="preserve"> drug therapy and those suffering from diseases such as AIDS which target the immune system.</w:t>
      </w:r>
    </w:p>
    <w:p w:rsidR="00D369A1" w:rsidRDefault="00D369A1">
      <w:pPr>
        <w:rPr>
          <w:rFonts w:ascii="Arial" w:hAnsi="Arial" w:cs="Arial"/>
          <w:sz w:val="16"/>
        </w:rPr>
      </w:pPr>
    </w:p>
    <w:p w:rsidR="00D369A1" w:rsidRDefault="00D369A1">
      <w:pPr>
        <w:rPr>
          <w:rFonts w:ascii="Arial" w:hAnsi="Arial" w:cs="Arial"/>
          <w:sz w:val="22"/>
        </w:rPr>
      </w:pPr>
      <w:proofErr w:type="spellStart"/>
      <w:r>
        <w:rPr>
          <w:rFonts w:ascii="Arial" w:hAnsi="Arial" w:cs="Arial"/>
          <w:i/>
          <w:sz w:val="22"/>
        </w:rPr>
        <w:t>Listeria</w:t>
      </w:r>
      <w:proofErr w:type="spellEnd"/>
      <w:r>
        <w:rPr>
          <w:rFonts w:ascii="Arial" w:hAnsi="Arial" w:cs="Arial"/>
          <w:sz w:val="22"/>
        </w:rPr>
        <w:t xml:space="preserve"> is common in soil and thus small numbers will normally contaminate the outsides of uncooked fruit and vegetables. It is destroyed by cooking or pasteurisation, but unusually for bacteria it can continue to divide at normal domestic fridge temperatures (3-5</w:t>
      </w:r>
      <w:r>
        <w:rPr>
          <w:rFonts w:ascii="Arial" w:hAnsi="Arial" w:cs="Arial"/>
          <w:sz w:val="22"/>
        </w:rPr>
        <w:sym w:font="Symbol" w:char="F0B0"/>
      </w:r>
      <w:r>
        <w:rPr>
          <w:rFonts w:ascii="Arial" w:hAnsi="Arial" w:cs="Arial"/>
          <w:sz w:val="22"/>
        </w:rPr>
        <w:t xml:space="preserve">C) in certain foods and potentially build up to infective concentrations. This is the basis for the strict hygiene regulations in commercial food production where utensils used for uncooked fruit and vegetables must be kept separate from those used for other foods. It is behind the advice for at-risk groups to avoid dairy products made from unpasteurised milk such as certain soft cheeses, to avoid refrigerated products particularly likely to culture </w:t>
      </w:r>
      <w:proofErr w:type="spellStart"/>
      <w:r>
        <w:rPr>
          <w:rFonts w:ascii="Arial" w:hAnsi="Arial" w:cs="Arial"/>
          <w:i/>
          <w:sz w:val="22"/>
        </w:rPr>
        <w:t>Listeria</w:t>
      </w:r>
      <w:proofErr w:type="spellEnd"/>
      <w:r>
        <w:rPr>
          <w:rFonts w:ascii="Arial" w:hAnsi="Arial" w:cs="Arial"/>
          <w:sz w:val="22"/>
        </w:rPr>
        <w:t xml:space="preserve"> such as meat </w:t>
      </w:r>
      <w:proofErr w:type="spellStart"/>
      <w:r>
        <w:rPr>
          <w:rFonts w:ascii="Arial" w:hAnsi="Arial" w:cs="Arial"/>
          <w:sz w:val="22"/>
        </w:rPr>
        <w:t>patés</w:t>
      </w:r>
      <w:proofErr w:type="spellEnd"/>
      <w:r>
        <w:rPr>
          <w:rFonts w:ascii="Arial" w:hAnsi="Arial" w:cs="Arial"/>
          <w:sz w:val="22"/>
        </w:rPr>
        <w:t>, and not to eat food past the "use by" date.</w:t>
      </w:r>
    </w:p>
    <w:p w:rsidR="00D369A1" w:rsidRDefault="00D369A1">
      <w:pPr>
        <w:rPr>
          <w:rFonts w:ascii="Arial" w:hAnsi="Arial" w:cs="Arial"/>
          <w:sz w:val="16"/>
        </w:rPr>
      </w:pPr>
    </w:p>
    <w:p w:rsidR="00D369A1" w:rsidRDefault="00D369A1">
      <w:pPr>
        <w:rPr>
          <w:rFonts w:ascii="Arial" w:hAnsi="Arial" w:cs="Arial"/>
          <w:sz w:val="22"/>
        </w:rPr>
      </w:pPr>
      <w:r>
        <w:rPr>
          <w:rFonts w:ascii="Arial" w:hAnsi="Arial" w:cs="Arial"/>
          <w:b/>
          <w:sz w:val="22"/>
        </w:rPr>
        <w:t>Further reading</w:t>
      </w:r>
      <w:r>
        <w:rPr>
          <w:rFonts w:ascii="Arial" w:hAnsi="Arial" w:cs="Arial"/>
          <w:sz w:val="22"/>
        </w:rPr>
        <w:t xml:space="preserve">: F.S. Southwick &amp; D.L. </w:t>
      </w:r>
      <w:proofErr w:type="spellStart"/>
      <w:r>
        <w:rPr>
          <w:rFonts w:ascii="Arial" w:hAnsi="Arial" w:cs="Arial"/>
          <w:sz w:val="22"/>
        </w:rPr>
        <w:t>Purich</w:t>
      </w:r>
      <w:proofErr w:type="spellEnd"/>
      <w:r>
        <w:rPr>
          <w:rFonts w:ascii="Arial" w:hAnsi="Arial" w:cs="Arial"/>
          <w:sz w:val="22"/>
        </w:rPr>
        <w:t xml:space="preserve"> (1996). </w:t>
      </w:r>
      <w:proofErr w:type="gramStart"/>
      <w:r>
        <w:rPr>
          <w:rFonts w:ascii="Arial" w:hAnsi="Arial" w:cs="Arial"/>
          <w:sz w:val="22"/>
        </w:rPr>
        <w:t xml:space="preserve">Intracellular pathogenesis of </w:t>
      </w:r>
      <w:proofErr w:type="spellStart"/>
      <w:r>
        <w:rPr>
          <w:rFonts w:ascii="Arial" w:hAnsi="Arial" w:cs="Arial"/>
          <w:sz w:val="22"/>
        </w:rPr>
        <w:t>Listeriosis</w:t>
      </w:r>
      <w:proofErr w:type="spellEnd"/>
      <w:r>
        <w:rPr>
          <w:rFonts w:ascii="Arial" w:hAnsi="Arial" w:cs="Arial"/>
          <w:sz w:val="22"/>
        </w:rPr>
        <w:t>.</w:t>
      </w:r>
      <w:proofErr w:type="gramEnd"/>
      <w:r>
        <w:rPr>
          <w:rFonts w:ascii="Arial" w:hAnsi="Arial" w:cs="Arial"/>
          <w:sz w:val="22"/>
        </w:rPr>
        <w:t xml:space="preserve"> </w:t>
      </w:r>
      <w:proofErr w:type="gramStart"/>
      <w:r>
        <w:rPr>
          <w:rFonts w:ascii="Arial" w:hAnsi="Arial" w:cs="Arial"/>
          <w:i/>
          <w:sz w:val="22"/>
        </w:rPr>
        <w:t xml:space="preserve">New </w:t>
      </w:r>
      <w:smartTag w:uri="urn:schemas-microsoft-com:office:smarttags" w:element="country-region">
        <w:smartTag w:uri="urn:schemas-microsoft-com:office:smarttags" w:element="place">
          <w:r>
            <w:rPr>
              <w:rFonts w:ascii="Arial" w:hAnsi="Arial" w:cs="Arial"/>
              <w:i/>
              <w:sz w:val="22"/>
            </w:rPr>
            <w:t>Eng.</w:t>
          </w:r>
        </w:smartTag>
      </w:smartTag>
      <w:r>
        <w:rPr>
          <w:rFonts w:ascii="Arial" w:hAnsi="Arial" w:cs="Arial"/>
          <w:i/>
          <w:sz w:val="22"/>
        </w:rPr>
        <w:t xml:space="preserve"> J. Med</w:t>
      </w:r>
      <w:r>
        <w:rPr>
          <w:rFonts w:ascii="Arial" w:hAnsi="Arial" w:cs="Arial"/>
          <w:sz w:val="22"/>
        </w:rPr>
        <w:t xml:space="preserve">. </w:t>
      </w:r>
      <w:r>
        <w:rPr>
          <w:rFonts w:ascii="Arial" w:hAnsi="Arial" w:cs="Arial"/>
          <w:b/>
          <w:sz w:val="22"/>
        </w:rPr>
        <w:t>334</w:t>
      </w:r>
      <w:r>
        <w:rPr>
          <w:rFonts w:ascii="Arial" w:hAnsi="Arial" w:cs="Arial"/>
          <w:sz w:val="22"/>
        </w:rPr>
        <w:t xml:space="preserve">, 770-776; P. </w:t>
      </w:r>
      <w:proofErr w:type="spellStart"/>
      <w:r>
        <w:rPr>
          <w:rFonts w:ascii="Arial" w:hAnsi="Arial" w:cs="Arial"/>
          <w:sz w:val="22"/>
        </w:rPr>
        <w:t>Cossart</w:t>
      </w:r>
      <w:proofErr w:type="spellEnd"/>
      <w:r>
        <w:rPr>
          <w:rFonts w:ascii="Arial" w:hAnsi="Arial" w:cs="Arial"/>
          <w:sz w:val="22"/>
        </w:rPr>
        <w:t xml:space="preserve"> &amp; M. </w:t>
      </w:r>
      <w:proofErr w:type="spellStart"/>
      <w:r>
        <w:rPr>
          <w:rFonts w:ascii="Arial" w:hAnsi="Arial" w:cs="Arial"/>
          <w:sz w:val="22"/>
        </w:rPr>
        <w:t>Lecuit</w:t>
      </w:r>
      <w:proofErr w:type="spellEnd"/>
      <w:r>
        <w:rPr>
          <w:rFonts w:ascii="Arial" w:hAnsi="Arial" w:cs="Arial"/>
          <w:sz w:val="22"/>
        </w:rPr>
        <w:t xml:space="preserve"> (1998).</w:t>
      </w:r>
      <w:proofErr w:type="gramEnd"/>
      <w:r>
        <w:rPr>
          <w:rFonts w:ascii="Arial" w:hAnsi="Arial" w:cs="Arial"/>
          <w:sz w:val="22"/>
        </w:rPr>
        <w:t xml:space="preserve"> Interactions of </w:t>
      </w:r>
      <w:proofErr w:type="spellStart"/>
      <w:r>
        <w:rPr>
          <w:rFonts w:ascii="Arial" w:hAnsi="Arial" w:cs="Arial"/>
          <w:i/>
          <w:sz w:val="22"/>
        </w:rPr>
        <w:t>Listeria</w:t>
      </w:r>
      <w:proofErr w:type="spellEnd"/>
      <w:r>
        <w:rPr>
          <w:rFonts w:ascii="Arial" w:hAnsi="Arial" w:cs="Arial"/>
          <w:i/>
          <w:sz w:val="22"/>
        </w:rPr>
        <w:t xml:space="preserve"> </w:t>
      </w:r>
      <w:proofErr w:type="spellStart"/>
      <w:r>
        <w:rPr>
          <w:rFonts w:ascii="Arial" w:hAnsi="Arial" w:cs="Arial"/>
          <w:i/>
          <w:sz w:val="22"/>
        </w:rPr>
        <w:t>monocytogenes</w:t>
      </w:r>
      <w:proofErr w:type="spellEnd"/>
      <w:r>
        <w:rPr>
          <w:rFonts w:ascii="Arial" w:hAnsi="Arial" w:cs="Arial"/>
          <w:sz w:val="22"/>
        </w:rPr>
        <w:t xml:space="preserve"> with mammalian cells during entry and </w:t>
      </w:r>
      <w:proofErr w:type="spellStart"/>
      <w:r>
        <w:rPr>
          <w:rFonts w:ascii="Arial" w:hAnsi="Arial" w:cs="Arial"/>
          <w:sz w:val="22"/>
        </w:rPr>
        <w:t>actin</w:t>
      </w:r>
      <w:proofErr w:type="spellEnd"/>
      <w:r>
        <w:rPr>
          <w:rFonts w:ascii="Arial" w:hAnsi="Arial" w:cs="Arial"/>
          <w:sz w:val="22"/>
        </w:rPr>
        <w:t xml:space="preserve">-based movement: bacterial factors, cellular </w:t>
      </w:r>
      <w:proofErr w:type="spellStart"/>
      <w:r>
        <w:rPr>
          <w:rFonts w:ascii="Arial" w:hAnsi="Arial" w:cs="Arial"/>
          <w:sz w:val="22"/>
        </w:rPr>
        <w:t>ligands</w:t>
      </w:r>
      <w:proofErr w:type="spellEnd"/>
      <w:r>
        <w:rPr>
          <w:rFonts w:ascii="Arial" w:hAnsi="Arial" w:cs="Arial"/>
          <w:sz w:val="22"/>
        </w:rPr>
        <w:t xml:space="preserve"> and </w:t>
      </w:r>
      <w:proofErr w:type="spellStart"/>
      <w:r>
        <w:rPr>
          <w:rFonts w:ascii="Arial" w:hAnsi="Arial" w:cs="Arial"/>
          <w:sz w:val="22"/>
        </w:rPr>
        <w:t>signaling</w:t>
      </w:r>
      <w:proofErr w:type="spellEnd"/>
      <w:r>
        <w:rPr>
          <w:rFonts w:ascii="Arial" w:hAnsi="Arial" w:cs="Arial"/>
          <w:sz w:val="22"/>
        </w:rPr>
        <w:t xml:space="preserve">. </w:t>
      </w:r>
      <w:proofErr w:type="gramStart"/>
      <w:r>
        <w:rPr>
          <w:rFonts w:ascii="Arial" w:hAnsi="Arial" w:cs="Arial"/>
          <w:i/>
          <w:sz w:val="22"/>
        </w:rPr>
        <w:t>EMBO J.</w:t>
      </w:r>
      <w:r>
        <w:rPr>
          <w:rFonts w:ascii="Arial" w:hAnsi="Arial" w:cs="Arial"/>
          <w:sz w:val="22"/>
        </w:rPr>
        <w:t xml:space="preserve"> </w:t>
      </w:r>
      <w:r>
        <w:rPr>
          <w:rFonts w:ascii="Arial" w:hAnsi="Arial" w:cs="Arial"/>
          <w:b/>
          <w:sz w:val="22"/>
        </w:rPr>
        <w:t>17</w:t>
      </w:r>
      <w:r>
        <w:rPr>
          <w:rFonts w:ascii="Arial" w:hAnsi="Arial" w:cs="Arial"/>
          <w:sz w:val="22"/>
        </w:rPr>
        <w:t>, 3797-3806.</w:t>
      </w:r>
      <w:proofErr w:type="gramEnd"/>
    </w:p>
    <w:sectPr w:rsidR="00D369A1" w:rsidSect="007264DE">
      <w:pgSz w:w="11906" w:h="16838" w:code="9"/>
      <w:pgMar w:top="1134" w:right="1418" w:bottom="1134"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E41" w:rsidRDefault="00C82E41">
      <w:r>
        <w:separator/>
      </w:r>
    </w:p>
  </w:endnote>
  <w:endnote w:type="continuationSeparator" w:id="0">
    <w:p w:rsidR="00C82E41" w:rsidRDefault="00C82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E41" w:rsidRDefault="00C82E41">
      <w:r>
        <w:separator/>
      </w:r>
    </w:p>
  </w:footnote>
  <w:footnote w:type="continuationSeparator" w:id="0">
    <w:p w:rsidR="00C82E41" w:rsidRDefault="00C82E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A15F7"/>
    <w:rsid w:val="00664F00"/>
    <w:rsid w:val="007264DE"/>
    <w:rsid w:val="0084353B"/>
    <w:rsid w:val="008A15F7"/>
    <w:rsid w:val="00C82E41"/>
    <w:rsid w:val="00D369A1"/>
    <w:rsid w:val="00FD3FC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C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FC8"/>
    <w:pPr>
      <w:tabs>
        <w:tab w:val="center" w:pos="4320"/>
        <w:tab w:val="right" w:pos="8640"/>
      </w:tabs>
    </w:pPr>
  </w:style>
  <w:style w:type="paragraph" w:styleId="Footer">
    <w:name w:val="footer"/>
    <w:basedOn w:val="Normal"/>
    <w:rsid w:val="00FD3FC8"/>
    <w:pPr>
      <w:tabs>
        <w:tab w:val="center" w:pos="4320"/>
        <w:tab w:val="right" w:pos="8640"/>
      </w:tabs>
    </w:pPr>
  </w:style>
  <w:style w:type="paragraph" w:styleId="BalloonText">
    <w:name w:val="Balloon Text"/>
    <w:basedOn w:val="Normal"/>
    <w:link w:val="BalloonTextChar"/>
    <w:uiPriority w:val="99"/>
    <w:semiHidden/>
    <w:unhideWhenUsed/>
    <w:rsid w:val="007264DE"/>
    <w:rPr>
      <w:rFonts w:ascii="Tahoma" w:hAnsi="Tahoma" w:cs="Tahoma"/>
      <w:sz w:val="16"/>
      <w:szCs w:val="16"/>
    </w:rPr>
  </w:style>
  <w:style w:type="character" w:customStyle="1" w:styleId="BalloonTextChar">
    <w:name w:val="Balloon Text Char"/>
    <w:basedOn w:val="DefaultParagraphFont"/>
    <w:link w:val="BalloonText"/>
    <w:uiPriority w:val="99"/>
    <w:semiHidden/>
    <w:rsid w:val="007264D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700</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Tutorial: Exploitation of the actin cytoskeleton by Listeria</vt:lpstr>
    </vt:vector>
  </TitlesOfParts>
  <Company>ICSM</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Exploitation of the actin cytoskeleton by Listeria</dc:title>
  <dc:subject/>
  <dc:creator>Jonathan Bennett</dc:creator>
  <cp:keywords/>
  <cp:lastModifiedBy>nshiel</cp:lastModifiedBy>
  <cp:revision>2</cp:revision>
  <cp:lastPrinted>2012-02-10T15:58:00Z</cp:lastPrinted>
  <dcterms:created xsi:type="dcterms:W3CDTF">2012-03-05T13:29:00Z</dcterms:created>
  <dcterms:modified xsi:type="dcterms:W3CDTF">2012-03-05T13:29:00Z</dcterms:modified>
</cp:coreProperties>
</file>